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8280"/>
        </w:tabs>
        <w:spacing w:line="360" w:lineRule="auto"/>
        <w:rPr>
          <w:rFonts w:hint="default" w:ascii="Arial" w:hAnsi="Arial" w:eastAsia="黑体" w:cs="Arial"/>
          <w:color w:val="auto"/>
          <w:sz w:val="28"/>
          <w:szCs w:val="28"/>
          <w:highlight w:val="none"/>
          <w:lang w:val="en-US" w:eastAsia="zh-CN"/>
        </w:rPr>
      </w:pPr>
      <w:r>
        <w:rPr>
          <w:rFonts w:hint="default" w:ascii="Arial" w:hAnsi="Arial" w:eastAsia="黑体" w:cs="Arial"/>
          <w:color w:val="auto"/>
          <w:sz w:val="28"/>
          <w:szCs w:val="28"/>
          <w:highlight w:val="none"/>
        </w:rPr>
        <w:t>招标编号：</w:t>
      </w:r>
      <w:r>
        <w:rPr>
          <w:rFonts w:hint="eastAsia" w:ascii="Arial" w:hAnsi="Arial" w:eastAsia="黑体" w:cs="Arial"/>
          <w:color w:val="auto"/>
          <w:sz w:val="28"/>
          <w:szCs w:val="28"/>
          <w:highlight w:val="none"/>
          <w:lang w:val="en-US" w:eastAsia="zh-CN"/>
        </w:rPr>
        <w:t>20260313001</w:t>
      </w:r>
    </w:p>
    <w:p>
      <w:pPr>
        <w:shd w:val="clear"/>
        <w:tabs>
          <w:tab w:val="left" w:pos="8280"/>
        </w:tabs>
        <w:spacing w:line="360" w:lineRule="auto"/>
        <w:rPr>
          <w:rFonts w:ascii="Arial" w:hAnsi="Arial" w:eastAsia="黑体" w:cs="Arial"/>
          <w:b/>
          <w:color w:val="auto"/>
          <w:sz w:val="28"/>
          <w:szCs w:val="28"/>
          <w:highlight w:val="none"/>
        </w:rPr>
      </w:pPr>
    </w:p>
    <w:p>
      <w:pPr>
        <w:shd w:val="clear"/>
        <w:tabs>
          <w:tab w:val="left" w:pos="8280"/>
        </w:tabs>
        <w:spacing w:line="360" w:lineRule="auto"/>
        <w:rPr>
          <w:rFonts w:ascii="Arial" w:hAnsi="Arial" w:eastAsia="黑体" w:cs="Arial"/>
          <w:b/>
          <w:color w:val="auto"/>
          <w:sz w:val="28"/>
          <w:highlight w:val="none"/>
        </w:rPr>
      </w:pPr>
    </w:p>
    <w:p>
      <w:pPr>
        <w:shd w:val="clear"/>
        <w:tabs>
          <w:tab w:val="left" w:pos="8280"/>
        </w:tabs>
        <w:spacing w:line="360" w:lineRule="auto"/>
        <w:rPr>
          <w:rFonts w:ascii="Arial" w:hAnsi="Arial" w:eastAsia="黑体" w:cs="Arial"/>
          <w:b/>
          <w:color w:val="auto"/>
          <w:sz w:val="28"/>
          <w:highlight w:val="none"/>
        </w:rPr>
      </w:pPr>
    </w:p>
    <w:p>
      <w:pPr>
        <w:shd w:val="clear"/>
        <w:tabs>
          <w:tab w:val="left" w:pos="8280"/>
        </w:tabs>
        <w:spacing w:line="360" w:lineRule="auto"/>
        <w:rPr>
          <w:rFonts w:ascii="Arial" w:hAnsi="Arial" w:eastAsia="黑体" w:cs="Arial"/>
          <w:b/>
          <w:color w:val="auto"/>
          <w:sz w:val="28"/>
          <w:highlight w:val="none"/>
        </w:rPr>
      </w:pPr>
    </w:p>
    <w:p>
      <w:pPr>
        <w:shd w:val="clear"/>
        <w:tabs>
          <w:tab w:val="left" w:pos="8280"/>
        </w:tabs>
        <w:spacing w:line="360" w:lineRule="auto"/>
        <w:rPr>
          <w:rFonts w:ascii="Arial" w:hAnsi="Arial" w:eastAsia="黑体" w:cs="Arial"/>
          <w:b/>
          <w:color w:val="auto"/>
          <w:sz w:val="28"/>
          <w:highlight w:val="none"/>
        </w:rPr>
      </w:pPr>
    </w:p>
    <w:p>
      <w:pPr>
        <w:shd w:val="clear"/>
        <w:tabs>
          <w:tab w:val="left" w:pos="8280"/>
        </w:tabs>
        <w:spacing w:line="360" w:lineRule="auto"/>
        <w:rPr>
          <w:rFonts w:ascii="Arial" w:hAnsi="Arial" w:eastAsia="黑体" w:cs="Arial"/>
          <w:b/>
          <w:color w:val="auto"/>
          <w:sz w:val="28"/>
          <w:highlight w:val="none"/>
        </w:rPr>
      </w:pPr>
    </w:p>
    <w:p>
      <w:pPr>
        <w:shd w:val="clear"/>
        <w:tabs>
          <w:tab w:val="left" w:pos="8280"/>
        </w:tabs>
        <w:spacing w:line="360" w:lineRule="auto"/>
        <w:rPr>
          <w:rFonts w:ascii="Arial" w:hAnsi="Arial" w:eastAsia="黑体" w:cs="Arial"/>
          <w:b/>
          <w:color w:val="auto"/>
          <w:sz w:val="28"/>
          <w:highlight w:val="none"/>
        </w:rPr>
      </w:pPr>
    </w:p>
    <w:p>
      <w:pPr>
        <w:pStyle w:val="6"/>
        <w:shd w:val="clear"/>
        <w:tabs>
          <w:tab w:val="left" w:pos="8280"/>
        </w:tabs>
        <w:spacing w:after="0" w:line="360" w:lineRule="auto"/>
        <w:jc w:val="center"/>
        <w:outlineLvl w:val="0"/>
        <w:rPr>
          <w:rFonts w:hint="default" w:ascii="Arial" w:hAnsi="Arial" w:eastAsia="黑体" w:cs="Arial"/>
          <w:color w:val="auto"/>
          <w:sz w:val="44"/>
          <w:highlight w:val="none"/>
        </w:rPr>
      </w:pPr>
      <w:r>
        <w:rPr>
          <w:rFonts w:hint="default" w:ascii="Arial" w:hAnsi="Arial" w:eastAsia="黑体" w:cs="Arial"/>
          <w:color w:val="auto"/>
          <w:sz w:val="44"/>
          <w:highlight w:val="none"/>
        </w:rPr>
        <w:t>江苏</w:t>
      </w:r>
      <w:r>
        <w:rPr>
          <w:rFonts w:ascii="Arial" w:hAnsi="Arial" w:eastAsia="黑体" w:cs="Arial"/>
          <w:color w:val="auto"/>
          <w:sz w:val="44"/>
          <w:highlight w:val="none"/>
        </w:rPr>
        <w:t>昆山农村商业银行</w:t>
      </w:r>
      <w:r>
        <w:rPr>
          <w:rFonts w:hint="default" w:ascii="Arial" w:hAnsi="Arial" w:eastAsia="黑体" w:cs="Arial"/>
          <w:color w:val="auto"/>
          <w:sz w:val="44"/>
          <w:highlight w:val="none"/>
        </w:rPr>
        <w:t>股份有限公司</w:t>
      </w:r>
    </w:p>
    <w:p>
      <w:pPr>
        <w:pStyle w:val="6"/>
        <w:shd w:val="clear"/>
        <w:tabs>
          <w:tab w:val="left" w:pos="8280"/>
        </w:tabs>
        <w:spacing w:after="0" w:line="360" w:lineRule="auto"/>
        <w:jc w:val="center"/>
        <w:outlineLvl w:val="0"/>
        <w:rPr>
          <w:rFonts w:ascii="Arial" w:hAnsi="Arial" w:eastAsia="黑体" w:cs="Arial"/>
          <w:color w:val="auto"/>
          <w:sz w:val="44"/>
          <w:highlight w:val="none"/>
        </w:rPr>
      </w:pPr>
      <w:r>
        <w:rPr>
          <w:rFonts w:ascii="Arial" w:hAnsi="Arial" w:eastAsia="黑体" w:cs="Arial"/>
          <w:color w:val="auto"/>
          <w:sz w:val="44"/>
          <w:highlight w:val="none"/>
        </w:rPr>
        <w:t>招标书</w:t>
      </w:r>
    </w:p>
    <w:p>
      <w:pPr>
        <w:shd w:val="clear"/>
        <w:tabs>
          <w:tab w:val="left" w:pos="8280"/>
        </w:tabs>
        <w:spacing w:line="360" w:lineRule="auto"/>
        <w:jc w:val="center"/>
        <w:rPr>
          <w:rFonts w:ascii="Arial" w:hAnsi="Arial" w:cs="Arial"/>
          <w:b/>
          <w:color w:val="auto"/>
          <w:sz w:val="48"/>
          <w:highlight w:val="none"/>
        </w:rPr>
      </w:pPr>
    </w:p>
    <w:p>
      <w:pPr>
        <w:shd w:val="clear"/>
        <w:tabs>
          <w:tab w:val="left" w:pos="8280"/>
        </w:tabs>
        <w:spacing w:line="360" w:lineRule="auto"/>
        <w:jc w:val="center"/>
        <w:rPr>
          <w:rFonts w:ascii="Arial" w:hAnsi="Arial" w:cs="Arial"/>
          <w:color w:val="auto"/>
          <w:sz w:val="48"/>
          <w:highlight w:val="none"/>
        </w:rPr>
      </w:pPr>
    </w:p>
    <w:p>
      <w:pPr>
        <w:shd w:val="clear"/>
        <w:tabs>
          <w:tab w:val="left" w:pos="8280"/>
        </w:tabs>
        <w:spacing w:line="360" w:lineRule="auto"/>
        <w:jc w:val="center"/>
        <w:rPr>
          <w:rFonts w:ascii="Arial" w:hAnsi="Arial" w:cs="Arial"/>
          <w:color w:val="auto"/>
          <w:sz w:val="48"/>
          <w:highlight w:val="none"/>
        </w:rPr>
      </w:pPr>
    </w:p>
    <w:p>
      <w:pPr>
        <w:shd w:val="clear"/>
        <w:tabs>
          <w:tab w:val="left" w:pos="8280"/>
        </w:tabs>
        <w:spacing w:line="360" w:lineRule="auto"/>
        <w:jc w:val="center"/>
        <w:rPr>
          <w:rFonts w:ascii="Arial" w:hAnsi="Arial" w:cs="Arial"/>
          <w:color w:val="auto"/>
          <w:sz w:val="48"/>
          <w:highlight w:val="none"/>
        </w:rPr>
      </w:pPr>
    </w:p>
    <w:p>
      <w:pPr>
        <w:shd w:val="clear"/>
        <w:tabs>
          <w:tab w:val="left" w:pos="8280"/>
        </w:tabs>
        <w:spacing w:line="360" w:lineRule="auto"/>
        <w:jc w:val="center"/>
        <w:rPr>
          <w:rFonts w:ascii="Arial" w:hAnsi="Arial" w:cs="Arial"/>
          <w:color w:val="auto"/>
          <w:sz w:val="48"/>
          <w:highlight w:val="none"/>
        </w:rPr>
      </w:pPr>
    </w:p>
    <w:p>
      <w:pPr>
        <w:shd w:val="clear"/>
        <w:tabs>
          <w:tab w:val="left" w:pos="8280"/>
        </w:tabs>
        <w:spacing w:line="360" w:lineRule="auto"/>
        <w:jc w:val="center"/>
        <w:rPr>
          <w:rFonts w:ascii="Arial" w:hAnsi="Arial" w:cs="Arial"/>
          <w:color w:val="auto"/>
          <w:sz w:val="48"/>
          <w:highlight w:val="none"/>
        </w:rPr>
      </w:pPr>
    </w:p>
    <w:p>
      <w:pPr>
        <w:shd w:val="clear"/>
        <w:tabs>
          <w:tab w:val="left" w:pos="8280"/>
        </w:tabs>
        <w:spacing w:line="360" w:lineRule="auto"/>
        <w:jc w:val="center"/>
        <w:rPr>
          <w:rFonts w:ascii="Arial" w:hAnsi="Arial" w:cs="Arial"/>
          <w:color w:val="auto"/>
          <w:sz w:val="48"/>
          <w:highlight w:val="none"/>
        </w:rPr>
      </w:pPr>
    </w:p>
    <w:p>
      <w:pPr>
        <w:shd w:val="clear"/>
        <w:tabs>
          <w:tab w:val="left" w:pos="8280"/>
        </w:tabs>
        <w:spacing w:line="360" w:lineRule="auto"/>
        <w:jc w:val="center"/>
        <w:rPr>
          <w:rFonts w:ascii="Arial" w:hAnsi="Arial" w:cs="Arial"/>
          <w:color w:val="auto"/>
          <w:sz w:val="48"/>
          <w:highlight w:val="none"/>
        </w:rPr>
      </w:pPr>
    </w:p>
    <w:p>
      <w:pPr>
        <w:shd w:val="clear"/>
        <w:tabs>
          <w:tab w:val="left" w:pos="8280"/>
        </w:tabs>
        <w:spacing w:line="360" w:lineRule="auto"/>
        <w:jc w:val="center"/>
        <w:rPr>
          <w:rFonts w:ascii="Arial" w:hAnsi="Arial" w:cs="Arial"/>
          <w:color w:val="auto"/>
          <w:sz w:val="48"/>
          <w:highlight w:val="none"/>
        </w:rPr>
      </w:pPr>
    </w:p>
    <w:p>
      <w:pPr>
        <w:shd w:val="clear"/>
        <w:tabs>
          <w:tab w:val="left" w:pos="8280"/>
        </w:tabs>
        <w:spacing w:line="360" w:lineRule="auto"/>
        <w:jc w:val="center"/>
        <w:outlineLvl w:val="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江苏昆山农村商业银行股份有限公司</w:t>
      </w:r>
    </w:p>
    <w:p>
      <w:pPr>
        <w:pStyle w:val="9"/>
        <w:shd w:val="clear"/>
        <w:tabs>
          <w:tab w:val="left" w:pos="8280"/>
        </w:tabs>
        <w:spacing w:line="360" w:lineRule="auto"/>
        <w:ind w:left="0" w:leftChars="0" w:firstLine="3220" w:firstLineChars="1150"/>
        <w:outlineLvl w:val="0"/>
        <w:rPr>
          <w:rFonts w:ascii="Arial" w:hAnsi="Arial" w:eastAsia="仿宋_GB2312" w:cs="Arial"/>
          <w:color w:val="auto"/>
          <w:szCs w:val="28"/>
          <w:highlight w:val="none"/>
        </w:rPr>
      </w:pPr>
      <w:r>
        <w:rPr>
          <w:rFonts w:hint="default" w:ascii="Arial" w:hAnsi="Arial" w:eastAsia="仿宋_GB2312" w:cs="Arial"/>
          <w:color w:val="auto"/>
          <w:szCs w:val="28"/>
          <w:highlight w:val="none"/>
          <w:lang w:val="en-US" w:eastAsia="zh-CN"/>
        </w:rPr>
        <w:t>2026</w:t>
      </w:r>
      <w:r>
        <w:rPr>
          <w:rFonts w:hint="default" w:ascii="Arial" w:hAnsi="Arial" w:eastAsia="仿宋_GB2312" w:cs="Arial"/>
          <w:color w:val="auto"/>
          <w:szCs w:val="28"/>
          <w:highlight w:val="none"/>
        </w:rPr>
        <w:t>年</w:t>
      </w:r>
      <w:r>
        <w:rPr>
          <w:rFonts w:hint="default" w:ascii="Arial" w:hAnsi="Arial" w:eastAsia="仿宋_GB2312" w:cs="Arial"/>
          <w:color w:val="auto"/>
          <w:szCs w:val="28"/>
          <w:highlight w:val="none"/>
          <w:lang w:val="en-US" w:eastAsia="zh-CN"/>
        </w:rPr>
        <w:t>0</w:t>
      </w:r>
      <w:r>
        <w:rPr>
          <w:rFonts w:hint="eastAsia" w:ascii="Arial" w:hAnsi="Arial" w:eastAsia="仿宋_GB2312" w:cs="Arial"/>
          <w:color w:val="auto"/>
          <w:szCs w:val="28"/>
          <w:highlight w:val="none"/>
          <w:lang w:val="en-US" w:eastAsia="zh-CN"/>
        </w:rPr>
        <w:t>3</w:t>
      </w:r>
      <w:r>
        <w:rPr>
          <w:rFonts w:hint="default" w:ascii="Arial" w:hAnsi="Arial" w:eastAsia="仿宋_GB2312" w:cs="Arial"/>
          <w:color w:val="auto"/>
          <w:szCs w:val="28"/>
          <w:highlight w:val="none"/>
        </w:rPr>
        <w:t>月</w:t>
      </w:r>
    </w:p>
    <w:p>
      <w:pPr>
        <w:shd w:val="clear"/>
        <w:spacing w:line="360" w:lineRule="auto"/>
        <w:jc w:val="center"/>
        <w:rPr>
          <w:rFonts w:ascii="Arial" w:hAnsi="Arial" w:eastAsia="黑体" w:cs="Arial"/>
          <w:color w:val="auto"/>
          <w:sz w:val="32"/>
          <w:szCs w:val="32"/>
          <w:highlight w:val="none"/>
        </w:rPr>
      </w:pPr>
      <w:r>
        <w:rPr>
          <w:rFonts w:ascii="Arial" w:hAnsi="Arial" w:cs="Arial"/>
          <w:color w:val="auto"/>
          <w:highlight w:val="none"/>
        </w:rPr>
        <w:br w:type="page"/>
      </w:r>
      <w:r>
        <w:rPr>
          <w:rFonts w:hint="default" w:ascii="Arial" w:hAnsi="Arial" w:eastAsia="黑体" w:cs="Arial"/>
          <w:color w:val="auto"/>
          <w:sz w:val="32"/>
          <w:szCs w:val="32"/>
          <w:highlight w:val="none"/>
        </w:rPr>
        <w:t>声</w:t>
      </w:r>
      <w:r>
        <w:rPr>
          <w:rFonts w:hint="default" w:ascii="Arial" w:hAnsi="Arial" w:eastAsia="黑体" w:cs="Arial"/>
          <w:color w:val="auto"/>
          <w:sz w:val="32"/>
          <w:szCs w:val="32"/>
          <w:highlight w:val="none"/>
        </w:rPr>
        <w:tab/>
      </w:r>
      <w:r>
        <w:rPr>
          <w:rFonts w:hint="default" w:ascii="Arial" w:hAnsi="Arial" w:eastAsia="黑体" w:cs="Arial"/>
          <w:color w:val="auto"/>
          <w:sz w:val="32"/>
          <w:szCs w:val="32"/>
          <w:highlight w:val="none"/>
        </w:rPr>
        <w:tab/>
      </w:r>
      <w:r>
        <w:rPr>
          <w:rFonts w:hint="default" w:ascii="Arial" w:hAnsi="Arial" w:eastAsia="黑体" w:cs="Arial"/>
          <w:color w:val="auto"/>
          <w:sz w:val="32"/>
          <w:szCs w:val="32"/>
          <w:highlight w:val="none"/>
        </w:rPr>
        <w:t>明</w:t>
      </w:r>
    </w:p>
    <w:p>
      <w:pPr>
        <w:shd w:val="clear"/>
        <w:spacing w:line="360" w:lineRule="auto"/>
        <w:ind w:firstLine="560" w:firstLineChars="20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本招标文件专用于江苏昆山农村商业银行股份有限公司本次采购</w:t>
      </w:r>
      <w:r>
        <w:rPr>
          <w:rFonts w:hint="eastAsia" w:ascii="仿宋" w:hAnsi="仿宋" w:eastAsia="仿宋" w:cs="仿宋"/>
          <w:color w:val="auto"/>
          <w:sz w:val="28"/>
          <w:szCs w:val="28"/>
          <w:highlight w:val="none"/>
          <w:u w:val="single"/>
        </w:rPr>
        <w:t xml:space="preserve"> 昆山农商银行CMMI-L3咨询认证复审项目</w:t>
      </w:r>
      <w:r>
        <w:rPr>
          <w:rFonts w:hint="default" w:ascii="Arial" w:hAnsi="Arial" w:eastAsia="仿宋_GB2312" w:cs="Arial"/>
          <w:color w:val="auto"/>
          <w:sz w:val="28"/>
          <w:szCs w:val="28"/>
          <w:highlight w:val="none"/>
          <w:u w:val="single"/>
        </w:rPr>
        <w:t xml:space="preserve"> </w:t>
      </w:r>
      <w:r>
        <w:rPr>
          <w:rFonts w:hint="default" w:ascii="Arial" w:hAnsi="Arial" w:eastAsia="仿宋_GB2312" w:cs="Arial"/>
          <w:color w:val="auto"/>
          <w:sz w:val="28"/>
          <w:szCs w:val="28"/>
          <w:highlight w:val="none"/>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pPr>
        <w:shd w:val="clear"/>
        <w:spacing w:line="360" w:lineRule="auto"/>
        <w:jc w:val="center"/>
        <w:rPr>
          <w:rFonts w:ascii="Arial" w:hAnsi="Arial" w:cs="Arial"/>
          <w:color w:val="auto"/>
          <w:highlight w:val="none"/>
        </w:rPr>
      </w:pPr>
    </w:p>
    <w:p>
      <w:pPr>
        <w:shd w:val="clear"/>
        <w:spacing w:line="360" w:lineRule="auto"/>
        <w:jc w:val="center"/>
        <w:rPr>
          <w:rFonts w:ascii="Arial" w:hAnsi="Arial" w:cs="Arial"/>
          <w:color w:val="auto"/>
          <w:highlight w:val="none"/>
        </w:rPr>
        <w:sectPr>
          <w:pgSz w:w="11906" w:h="16838"/>
          <w:pgMar w:top="1440" w:right="1800" w:bottom="1440" w:left="1800" w:header="851" w:footer="992" w:gutter="0"/>
          <w:cols w:space="720" w:num="1"/>
          <w:docGrid w:type="lines" w:linePitch="312" w:charSpace="0"/>
        </w:sectPr>
      </w:pPr>
    </w:p>
    <w:p>
      <w:pPr>
        <w:pStyle w:val="2"/>
        <w:keepNext w:val="0"/>
        <w:keepLines w:val="0"/>
        <w:shd w:val="clear"/>
        <w:jc w:val="center"/>
        <w:rPr>
          <w:rFonts w:ascii="Arial" w:hAnsi="Arial" w:eastAsia="黑体" w:cs="Arial"/>
          <w:color w:val="auto"/>
          <w:sz w:val="32"/>
          <w:szCs w:val="32"/>
          <w:highlight w:val="none"/>
        </w:rPr>
      </w:pPr>
      <w:r>
        <w:rPr>
          <w:rFonts w:hint="default" w:ascii="Arial" w:hAnsi="Arial" w:eastAsia="黑体" w:cs="Arial"/>
          <w:color w:val="auto"/>
          <w:sz w:val="32"/>
          <w:szCs w:val="32"/>
          <w:highlight w:val="none"/>
        </w:rPr>
        <w:t>第一部分</w:t>
      </w:r>
      <w:r>
        <w:rPr>
          <w:rFonts w:hint="default" w:ascii="Arial" w:hAnsi="Arial" w:eastAsia="黑体" w:cs="Arial"/>
          <w:color w:val="auto"/>
          <w:sz w:val="32"/>
          <w:szCs w:val="32"/>
          <w:highlight w:val="none"/>
        </w:rPr>
        <w:tab/>
      </w:r>
      <w:r>
        <w:rPr>
          <w:rFonts w:hint="default" w:ascii="Arial" w:hAnsi="Arial" w:eastAsia="黑体" w:cs="Arial"/>
          <w:color w:val="auto"/>
          <w:sz w:val="32"/>
          <w:szCs w:val="32"/>
          <w:highlight w:val="none"/>
        </w:rPr>
        <w:t>投标函</w:t>
      </w:r>
    </w:p>
    <w:p>
      <w:pPr>
        <w:shd w:val="clear"/>
        <w:spacing w:line="520" w:lineRule="exact"/>
        <w:ind w:left="561" w:leftChars="267"/>
        <w:rPr>
          <w:rFonts w:hint="eastAsia" w:ascii="仿宋" w:hAnsi="仿宋" w:eastAsia="仿宋" w:cs="仿宋"/>
          <w:color w:val="auto"/>
          <w:sz w:val="28"/>
          <w:szCs w:val="28"/>
          <w:highlight w:val="none"/>
        </w:rPr>
      </w:pPr>
      <w:r>
        <w:rPr>
          <w:rFonts w:hint="default" w:ascii="Arial" w:hAnsi="Arial" w:eastAsia="仿宋_GB2312" w:cs="Arial"/>
          <w:color w:val="auto"/>
          <w:sz w:val="28"/>
          <w:szCs w:val="28"/>
          <w:highlight w:val="none"/>
        </w:rPr>
        <w:t>根据江苏昆山农村商业银行股份有限公司业务发展的需求，现就江苏昆山农村商业银行股份有限公司采购</w:t>
      </w:r>
      <w:r>
        <w:rPr>
          <w:rFonts w:hint="eastAsia" w:ascii="仿宋" w:hAnsi="仿宋" w:eastAsia="仿宋" w:cs="仿宋"/>
          <w:color w:val="auto"/>
          <w:sz w:val="28"/>
          <w:szCs w:val="28"/>
          <w:highlight w:val="none"/>
          <w:u w:val="single"/>
        </w:rPr>
        <w:t>昆山农商银行CMMI-L3咨询认证复审项目</w:t>
      </w:r>
      <w:r>
        <w:rPr>
          <w:rFonts w:hint="eastAsia" w:ascii="仿宋" w:hAnsi="仿宋" w:eastAsia="仿宋" w:cs="仿宋"/>
          <w:color w:val="auto"/>
          <w:sz w:val="28"/>
          <w:szCs w:val="28"/>
          <w:highlight w:val="none"/>
        </w:rPr>
        <w:t>进行招标：</w:t>
      </w:r>
    </w:p>
    <w:p>
      <w:pPr>
        <w:shd w:val="clear"/>
        <w:spacing w:line="520" w:lineRule="exact"/>
        <w:ind w:firstLine="560" w:firstLineChars="200"/>
        <w:rPr>
          <w:rFonts w:hint="default" w:ascii="仿宋" w:hAnsi="仿宋" w:eastAsia="仿宋" w:cs="仿宋"/>
          <w:color w:val="auto"/>
          <w:sz w:val="28"/>
          <w:highlight w:val="none"/>
          <w:u w:val="single"/>
          <w:lang w:val="en-US" w:eastAsia="zh-CN"/>
        </w:rPr>
      </w:pPr>
      <w:r>
        <w:rPr>
          <w:rFonts w:hint="eastAsia" w:ascii="仿宋" w:hAnsi="仿宋" w:eastAsia="仿宋" w:cs="仿宋"/>
          <w:color w:val="auto"/>
          <w:sz w:val="28"/>
          <w:szCs w:val="28"/>
          <w:highlight w:val="none"/>
        </w:rPr>
        <w:t>1、招标</w:t>
      </w:r>
      <w:r>
        <w:rPr>
          <w:rFonts w:hint="eastAsia" w:ascii="仿宋" w:hAnsi="仿宋" w:eastAsia="仿宋" w:cs="仿宋"/>
          <w:color w:val="auto"/>
          <w:sz w:val="28"/>
          <w:highlight w:val="none"/>
        </w:rPr>
        <w:t>编号：</w:t>
      </w:r>
      <w:r>
        <w:rPr>
          <w:rFonts w:hint="eastAsia" w:ascii="仿宋" w:hAnsi="仿宋" w:eastAsia="仿宋" w:cs="仿宋"/>
          <w:color w:val="auto"/>
          <w:sz w:val="28"/>
          <w:highlight w:val="none"/>
          <w:lang w:val="en-US" w:eastAsia="zh-CN"/>
        </w:rPr>
        <w:t>20260313001</w:t>
      </w:r>
    </w:p>
    <w:p>
      <w:pPr>
        <w:shd w:val="clear"/>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2、招标人：江苏昆山农村商业银行股份有限公司</w:t>
      </w:r>
    </w:p>
    <w:p>
      <w:pPr>
        <w:shd w:val="clear"/>
        <w:spacing w:line="520" w:lineRule="exact"/>
        <w:ind w:firstLine="560" w:firstLineChars="2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3、招标内容：昆山农村商业银行</w:t>
      </w:r>
      <w:r>
        <w:rPr>
          <w:rFonts w:hint="eastAsia" w:ascii="仿宋" w:hAnsi="仿宋" w:eastAsia="仿宋" w:cs="仿宋"/>
          <w:color w:val="auto"/>
          <w:sz w:val="28"/>
          <w:szCs w:val="28"/>
          <w:highlight w:val="none"/>
          <w:u w:val="single"/>
        </w:rPr>
        <w:t>CMMI</w:t>
      </w:r>
      <w:r>
        <w:rPr>
          <w:rFonts w:hint="eastAsia" w:ascii="仿宋" w:hAnsi="仿宋" w:eastAsia="仿宋" w:cs="仿宋"/>
          <w:color w:val="auto"/>
          <w:sz w:val="28"/>
          <w:szCs w:val="28"/>
          <w:highlight w:val="none"/>
          <w:u w:val="single"/>
          <w:lang w:val="en-US" w:eastAsia="zh-CN"/>
        </w:rPr>
        <w:t>-L</w:t>
      </w:r>
      <w:r>
        <w:rPr>
          <w:rFonts w:hint="eastAsia" w:ascii="仿宋" w:hAnsi="仿宋" w:eastAsia="仿宋" w:cs="仿宋"/>
          <w:color w:val="auto"/>
          <w:sz w:val="28"/>
          <w:szCs w:val="28"/>
          <w:highlight w:val="none"/>
          <w:u w:val="single"/>
        </w:rPr>
        <w:t xml:space="preserve">3咨询认证复评项目 </w:t>
      </w:r>
    </w:p>
    <w:p>
      <w:pPr>
        <w:shd w:val="clear"/>
        <w:spacing w:line="520" w:lineRule="exact"/>
        <w:ind w:firstLine="560" w:firstLineChars="200"/>
        <w:jc w:val="left"/>
        <w:rPr>
          <w:rFonts w:hint="eastAsia" w:ascii="仿宋" w:hAnsi="仿宋" w:eastAsia="仿宋" w:cs="仿宋"/>
          <w:color w:val="auto"/>
          <w:sz w:val="28"/>
          <w:highlight w:val="none"/>
        </w:rPr>
      </w:pPr>
      <w:r>
        <w:rPr>
          <w:rFonts w:hint="eastAsia" w:ascii="仿宋" w:hAnsi="仿宋" w:eastAsia="仿宋" w:cs="仿宋"/>
          <w:color w:val="auto"/>
          <w:sz w:val="28"/>
          <w:highlight w:val="none"/>
        </w:rPr>
        <w:t>4、项目实施地点：</w:t>
      </w:r>
      <w:r>
        <w:rPr>
          <w:rFonts w:hint="eastAsia" w:ascii="仿宋" w:hAnsi="仿宋" w:eastAsia="仿宋" w:cs="仿宋"/>
          <w:color w:val="auto"/>
          <w:sz w:val="28"/>
        </w:rPr>
        <w:t>江苏省昆山市花桥镇中城商务广场3号楼</w:t>
      </w:r>
    </w:p>
    <w:p>
      <w:pPr>
        <w:shd w:val="clear"/>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highlight w:val="none"/>
        </w:rPr>
        <w:t>、发放标书时间：北京时间202</w:t>
      </w:r>
      <w:r>
        <w:rPr>
          <w:rFonts w:hint="eastAsia" w:ascii="仿宋" w:hAnsi="仿宋" w:eastAsia="仿宋" w:cs="仿宋"/>
          <w:color w:val="auto"/>
          <w:sz w:val="28"/>
          <w:highlight w:val="none"/>
          <w:lang w:val="en-US" w:eastAsia="zh-CN"/>
        </w:rPr>
        <w:t>6</w:t>
      </w:r>
      <w:r>
        <w:rPr>
          <w:rFonts w:hint="eastAsia" w:ascii="仿宋" w:hAnsi="仿宋" w:eastAsia="仿宋" w:cs="仿宋"/>
          <w:color w:val="auto"/>
          <w:sz w:val="28"/>
          <w:highlight w:val="none"/>
        </w:rPr>
        <w:t>年</w:t>
      </w: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lang w:val="en-US" w:eastAsia="zh-CN"/>
        </w:rPr>
        <w:t>16</w:t>
      </w:r>
      <w:r>
        <w:rPr>
          <w:rFonts w:hint="eastAsia" w:ascii="仿宋" w:hAnsi="仿宋" w:eastAsia="仿宋" w:cs="仿宋"/>
          <w:color w:val="auto"/>
          <w:sz w:val="28"/>
          <w:highlight w:val="none"/>
        </w:rPr>
        <w:t>日</w:t>
      </w:r>
    </w:p>
    <w:p>
      <w:pPr>
        <w:shd w:val="clear"/>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6、投标截止时间：北京时间202</w:t>
      </w:r>
      <w:r>
        <w:rPr>
          <w:rFonts w:hint="eastAsia" w:ascii="仿宋" w:hAnsi="仿宋" w:eastAsia="仿宋" w:cs="仿宋"/>
          <w:color w:val="auto"/>
          <w:sz w:val="28"/>
          <w:highlight w:val="none"/>
          <w:lang w:val="en-US" w:eastAsia="zh-CN"/>
        </w:rPr>
        <w:t>6</w:t>
      </w:r>
      <w:r>
        <w:rPr>
          <w:rFonts w:hint="eastAsia" w:ascii="仿宋" w:hAnsi="仿宋" w:eastAsia="仿宋" w:cs="仿宋"/>
          <w:color w:val="auto"/>
          <w:sz w:val="28"/>
          <w:highlight w:val="none"/>
        </w:rPr>
        <w:t>年</w:t>
      </w: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lang w:val="en-US" w:eastAsia="zh-CN"/>
        </w:rPr>
        <w:t>10</w:t>
      </w:r>
      <w:r>
        <w:rPr>
          <w:rFonts w:hint="eastAsia" w:ascii="仿宋" w:hAnsi="仿宋" w:eastAsia="仿宋" w:cs="仿宋"/>
          <w:color w:val="auto"/>
          <w:sz w:val="28"/>
          <w:highlight w:val="none"/>
        </w:rPr>
        <w:t>日17：00前将密封的投标文件寄（送）至江苏省昆山市</w:t>
      </w:r>
      <w:r>
        <w:rPr>
          <w:rFonts w:hint="eastAsia" w:ascii="仿宋" w:hAnsi="仿宋" w:eastAsia="仿宋" w:cs="仿宋"/>
          <w:color w:val="auto"/>
          <w:sz w:val="28"/>
          <w:highlight w:val="none"/>
          <w:lang w:eastAsia="zh-CN"/>
        </w:rPr>
        <w:t>花桥镇中城商务广场</w:t>
      </w:r>
      <w:r>
        <w:rPr>
          <w:rFonts w:hint="eastAsia" w:ascii="仿宋" w:hAnsi="仿宋" w:eastAsia="仿宋" w:cs="仿宋"/>
          <w:color w:val="auto"/>
          <w:sz w:val="28"/>
          <w:highlight w:val="none"/>
          <w:lang w:val="en-US" w:eastAsia="zh-CN"/>
        </w:rPr>
        <w:t>3号楼906室</w:t>
      </w:r>
      <w:r>
        <w:rPr>
          <w:rFonts w:hint="eastAsia" w:ascii="仿宋" w:hAnsi="仿宋" w:eastAsia="仿宋" w:cs="仿宋"/>
          <w:color w:val="auto"/>
          <w:sz w:val="28"/>
          <w:highlight w:val="none"/>
        </w:rPr>
        <w:t>（以我行收到日戳为准），逾期送达的投标文件将不予接受。</w:t>
      </w:r>
    </w:p>
    <w:p>
      <w:pPr>
        <w:shd w:val="clear"/>
        <w:spacing w:line="520" w:lineRule="exact"/>
        <w:ind w:firstLine="560" w:firstLineChars="200"/>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7、开标时间、地点：</w:t>
      </w:r>
      <w:r>
        <w:rPr>
          <w:rFonts w:hint="eastAsia" w:ascii="仿宋" w:hAnsi="仿宋" w:eastAsia="仿宋" w:cs="仿宋"/>
          <w:color w:val="auto"/>
          <w:sz w:val="28"/>
          <w:highlight w:val="none"/>
          <w:lang w:eastAsia="zh-CN"/>
        </w:rPr>
        <w:t>另行通知</w:t>
      </w:r>
    </w:p>
    <w:p>
      <w:pPr>
        <w:shd w:val="clear"/>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8、招标人联系方式：江苏昆山农村商业银行股份有限公司</w:t>
      </w:r>
    </w:p>
    <w:p>
      <w:pPr>
        <w:shd w:val="clear"/>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地址：江苏省昆山市</w:t>
      </w:r>
      <w:r>
        <w:rPr>
          <w:rFonts w:hint="eastAsia" w:ascii="仿宋" w:hAnsi="仿宋" w:eastAsia="仿宋" w:cs="仿宋"/>
          <w:color w:val="auto"/>
          <w:sz w:val="28"/>
          <w:highlight w:val="none"/>
          <w:lang w:eastAsia="zh-CN"/>
        </w:rPr>
        <w:t>花桥镇中城商务广场</w:t>
      </w:r>
      <w:r>
        <w:rPr>
          <w:rFonts w:hint="eastAsia" w:ascii="仿宋" w:hAnsi="仿宋" w:eastAsia="仿宋" w:cs="仿宋"/>
          <w:color w:val="auto"/>
          <w:sz w:val="28"/>
          <w:highlight w:val="none"/>
          <w:lang w:val="en-US" w:eastAsia="zh-CN"/>
        </w:rPr>
        <w:t>3号楼906室</w:t>
      </w:r>
    </w:p>
    <w:p>
      <w:pPr>
        <w:shd w:val="clear"/>
        <w:spacing w:line="520" w:lineRule="exact"/>
        <w:ind w:firstLine="560" w:firstLineChars="20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邮编：2153</w:t>
      </w:r>
      <w:r>
        <w:rPr>
          <w:rFonts w:hint="eastAsia" w:ascii="仿宋" w:hAnsi="仿宋" w:eastAsia="仿宋" w:cs="仿宋"/>
          <w:color w:val="auto"/>
          <w:sz w:val="28"/>
          <w:highlight w:val="none"/>
          <w:lang w:val="en-US" w:eastAsia="zh-CN"/>
        </w:rPr>
        <w:t>32</w:t>
      </w:r>
    </w:p>
    <w:p>
      <w:pPr>
        <w:shd w:val="clear"/>
        <w:spacing w:line="520" w:lineRule="exact"/>
        <w:ind w:firstLine="560" w:firstLineChars="200"/>
        <w:rPr>
          <w:rFonts w:hint="default" w:ascii="仿宋" w:hAnsi="仿宋" w:eastAsia="仿宋" w:cs="仿宋"/>
          <w:color w:val="auto"/>
          <w:sz w:val="28"/>
          <w:highlight w:val="none"/>
          <w:lang w:val="en-US"/>
        </w:rPr>
      </w:pPr>
      <w:r>
        <w:rPr>
          <w:rFonts w:hint="eastAsia" w:ascii="仿宋" w:hAnsi="仿宋" w:eastAsia="仿宋" w:cs="仿宋"/>
          <w:color w:val="auto"/>
          <w:sz w:val="28"/>
          <w:highlight w:val="none"/>
          <w:lang w:eastAsia="zh-CN"/>
        </w:rPr>
        <w:t>招标</w:t>
      </w:r>
      <w:r>
        <w:rPr>
          <w:rFonts w:hint="eastAsia" w:ascii="仿宋" w:hAnsi="仿宋" w:eastAsia="仿宋" w:cs="仿宋"/>
          <w:color w:val="auto"/>
          <w:sz w:val="28"/>
          <w:highlight w:val="none"/>
        </w:rPr>
        <w:t>联系人：梁田</w:t>
      </w:r>
    </w:p>
    <w:p>
      <w:pPr>
        <w:shd w:val="clear"/>
        <w:spacing w:line="520" w:lineRule="exact"/>
        <w:ind w:firstLine="560" w:firstLineChars="200"/>
        <w:rPr>
          <w:rFonts w:hint="default" w:ascii="仿宋" w:hAnsi="仿宋" w:eastAsia="仿宋" w:cs="仿宋"/>
          <w:color w:val="auto"/>
          <w:sz w:val="28"/>
          <w:highlight w:val="none"/>
          <w:lang w:val="en-US" w:eastAsia="zh-CN"/>
        </w:rPr>
      </w:pPr>
      <w:r>
        <w:rPr>
          <w:rFonts w:hint="eastAsia" w:ascii="仿宋" w:hAnsi="仿宋" w:eastAsia="仿宋" w:cs="仿宋"/>
          <w:color w:val="auto"/>
          <w:sz w:val="28"/>
          <w:highlight w:val="none"/>
        </w:rPr>
        <w:t>联系电话：0512</w:t>
      </w:r>
      <w:r>
        <w:rPr>
          <w:rFonts w:hint="eastAsia" w:ascii="仿宋" w:hAnsi="仿宋" w:eastAsia="仿宋" w:cs="仿宋"/>
          <w:color w:val="auto"/>
          <w:sz w:val="28"/>
          <w:highlight w:val="none"/>
          <w:lang w:val="en-US" w:eastAsia="zh-CN"/>
        </w:rPr>
        <w:t>-</w:t>
      </w:r>
      <w:r>
        <w:rPr>
          <w:rFonts w:hint="eastAsia" w:ascii="仿宋" w:hAnsi="仿宋" w:eastAsia="仿宋" w:cs="仿宋"/>
          <w:color w:val="auto"/>
          <w:sz w:val="28"/>
          <w:highlight w:val="none"/>
        </w:rPr>
        <w:t>57535692</w:t>
      </w:r>
    </w:p>
    <w:p>
      <w:pPr>
        <w:shd w:val="clear"/>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项目联系人：</w:t>
      </w:r>
      <w:r>
        <w:rPr>
          <w:rFonts w:hint="eastAsia" w:ascii="仿宋" w:hAnsi="仿宋" w:eastAsia="仿宋" w:cs="仿宋"/>
          <w:color w:val="auto"/>
          <w:sz w:val="28"/>
          <w:highlight w:val="none"/>
          <w:lang w:eastAsia="zh-CN"/>
        </w:rPr>
        <w:t>曹廷玖</w:t>
      </w:r>
    </w:p>
    <w:p>
      <w:pPr>
        <w:shd w:val="clear"/>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联系电话：</w:t>
      </w:r>
      <w:r>
        <w:rPr>
          <w:rFonts w:hint="eastAsia" w:ascii="仿宋" w:hAnsi="仿宋" w:eastAsia="仿宋" w:cs="仿宋"/>
          <w:color w:val="auto"/>
          <w:sz w:val="28"/>
          <w:highlight w:val="none"/>
          <w:lang w:val="en-US" w:eastAsia="zh-CN"/>
        </w:rPr>
        <w:t>18912681083</w:t>
      </w:r>
    </w:p>
    <w:p>
      <w:pPr>
        <w:shd w:val="clear"/>
        <w:spacing w:line="52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技术联系人：</w:t>
      </w:r>
      <w:r>
        <w:rPr>
          <w:rFonts w:hint="eastAsia" w:ascii="仿宋" w:hAnsi="仿宋" w:eastAsia="仿宋" w:cs="仿宋"/>
          <w:color w:val="auto"/>
          <w:sz w:val="28"/>
          <w:highlight w:val="none"/>
          <w:lang w:eastAsia="zh-CN"/>
        </w:rPr>
        <w:t>曹廷玖</w:t>
      </w:r>
    </w:p>
    <w:p>
      <w:pPr>
        <w:shd w:val="clear"/>
        <w:spacing w:line="520" w:lineRule="exact"/>
        <w:ind w:firstLine="560" w:firstLineChars="200"/>
        <w:rPr>
          <w:rFonts w:ascii="Arial" w:hAnsi="Arial" w:eastAsia="仿宋_GB2312" w:cs="Arial"/>
          <w:color w:val="auto"/>
          <w:sz w:val="28"/>
          <w:highlight w:val="none"/>
        </w:rPr>
      </w:pPr>
      <w:r>
        <w:rPr>
          <w:rFonts w:hint="eastAsia" w:ascii="仿宋" w:hAnsi="仿宋" w:eastAsia="仿宋" w:cs="仿宋"/>
          <w:color w:val="auto"/>
          <w:sz w:val="28"/>
          <w:highlight w:val="none"/>
        </w:rPr>
        <w:t>联系电话：</w:t>
      </w:r>
      <w:r>
        <w:rPr>
          <w:rFonts w:hint="eastAsia" w:ascii="仿宋" w:hAnsi="仿宋" w:eastAsia="仿宋" w:cs="仿宋"/>
          <w:color w:val="auto"/>
          <w:sz w:val="28"/>
          <w:highlight w:val="none"/>
          <w:lang w:val="en-US" w:eastAsia="zh-CN"/>
        </w:rPr>
        <w:t>18912681083</w:t>
      </w:r>
    </w:p>
    <w:p>
      <w:pPr>
        <w:shd w:val="clear"/>
        <w:spacing w:line="520" w:lineRule="exact"/>
        <w:ind w:firstLine="0" w:firstLineChars="0"/>
        <w:rPr>
          <w:rFonts w:ascii="Arial" w:hAnsi="Arial" w:eastAsia="仿宋_GB2312" w:cs="Arial"/>
          <w:color w:val="auto"/>
          <w:sz w:val="28"/>
          <w:highlight w:val="none"/>
        </w:rPr>
      </w:pPr>
    </w:p>
    <w:p>
      <w:pPr>
        <w:shd w:val="clear"/>
        <w:spacing w:line="360" w:lineRule="auto"/>
        <w:ind w:firstLine="560" w:firstLineChars="200"/>
        <w:rPr>
          <w:rFonts w:ascii="Arial" w:hAnsi="Arial" w:eastAsia="仿宋_GB2312" w:cs="Arial"/>
          <w:color w:val="auto"/>
          <w:sz w:val="28"/>
          <w:highlight w:val="none"/>
        </w:rPr>
      </w:pPr>
    </w:p>
    <w:p>
      <w:pPr>
        <w:shd w:val="clear"/>
        <w:spacing w:line="360" w:lineRule="auto"/>
        <w:ind w:firstLine="560" w:firstLineChars="200"/>
        <w:rPr>
          <w:rFonts w:ascii="Arial" w:hAnsi="Arial" w:eastAsia="仿宋_GB2312" w:cs="Arial"/>
          <w:color w:val="auto"/>
          <w:sz w:val="28"/>
          <w:highlight w:val="none"/>
        </w:rPr>
      </w:pPr>
    </w:p>
    <w:p>
      <w:pPr>
        <w:pStyle w:val="2"/>
        <w:keepNext w:val="0"/>
        <w:keepLines w:val="0"/>
        <w:shd w:val="clear"/>
        <w:jc w:val="center"/>
        <w:rPr>
          <w:rFonts w:ascii="Arial" w:hAnsi="Arial" w:eastAsia="黑体" w:cs="Arial"/>
          <w:color w:val="auto"/>
          <w:sz w:val="32"/>
          <w:szCs w:val="32"/>
          <w:highlight w:val="none"/>
        </w:rPr>
      </w:pPr>
      <w:r>
        <w:rPr>
          <w:rFonts w:hint="default" w:ascii="Arial" w:hAnsi="Arial" w:eastAsia="黑体" w:cs="Arial"/>
          <w:color w:val="auto"/>
          <w:sz w:val="32"/>
          <w:szCs w:val="32"/>
          <w:highlight w:val="none"/>
        </w:rPr>
        <w:t>第二部分</w:t>
      </w:r>
      <w:r>
        <w:rPr>
          <w:rFonts w:hint="default" w:ascii="Arial" w:hAnsi="Arial" w:eastAsia="黑体" w:cs="Arial"/>
          <w:color w:val="auto"/>
          <w:sz w:val="32"/>
          <w:szCs w:val="32"/>
          <w:highlight w:val="none"/>
        </w:rPr>
        <w:tab/>
      </w:r>
      <w:r>
        <w:rPr>
          <w:rFonts w:hint="default" w:ascii="Arial" w:hAnsi="Arial" w:eastAsia="黑体" w:cs="Arial"/>
          <w:color w:val="auto"/>
          <w:sz w:val="32"/>
          <w:szCs w:val="32"/>
          <w:highlight w:val="none"/>
        </w:rPr>
        <w:t>招标内容及要求（设备、技术、业务）</w:t>
      </w:r>
    </w:p>
    <w:p>
      <w:pPr>
        <w:pStyle w:val="3"/>
        <w:keepNext w:val="0"/>
        <w:keepLines w:val="0"/>
        <w:shd w:val="clear"/>
        <w:spacing w:before="0" w:after="0" w:line="560" w:lineRule="exact"/>
        <w:ind w:firstLine="562" w:firstLineChars="200"/>
        <w:rPr>
          <w:rFonts w:hint="default" w:ascii="Arial" w:hAnsi="Arial" w:eastAsia="仿宋" w:cs="Arial"/>
          <w:snapToGrid w:val="0"/>
          <w:color w:val="auto"/>
          <w:kern w:val="0"/>
          <w:sz w:val="28"/>
          <w:szCs w:val="28"/>
          <w:highlight w:val="none"/>
        </w:rPr>
      </w:pPr>
      <w:r>
        <w:rPr>
          <w:rFonts w:hint="default" w:ascii="Arial" w:hAnsi="Arial" w:eastAsia="仿宋" w:cs="Arial"/>
          <w:snapToGrid w:val="0"/>
          <w:color w:val="auto"/>
          <w:kern w:val="0"/>
          <w:sz w:val="28"/>
          <w:szCs w:val="28"/>
          <w:highlight w:val="none"/>
        </w:rPr>
        <w:t>一、项目背景</w:t>
      </w:r>
    </w:p>
    <w:p>
      <w:pPr>
        <w:shd w:val="clear"/>
        <w:spacing w:line="560" w:lineRule="exact"/>
        <w:ind w:firstLine="560" w:firstLineChars="200"/>
        <w:rPr>
          <w:rFonts w:hint="default" w:ascii="仿宋" w:hAnsi="仿宋" w:eastAsia="仿宋" w:cs="仿宋"/>
          <w:color w:val="auto"/>
          <w:sz w:val="28"/>
          <w:highlight w:val="none"/>
        </w:rPr>
      </w:pPr>
      <w:r>
        <w:rPr>
          <w:rFonts w:hint="eastAsia" w:ascii="仿宋" w:hAnsi="仿宋" w:eastAsia="仿宋" w:cs="仿宋"/>
          <w:color w:val="auto"/>
          <w:sz w:val="28"/>
          <w:highlight w:val="none"/>
        </w:rPr>
        <w:t>为持续提升我行信息科技开发水平，不断提高软件产品质量管理及质量保证标准。我行于2023年通过CMMI-</w:t>
      </w:r>
      <w:r>
        <w:rPr>
          <w:rFonts w:hint="eastAsia" w:ascii="仿宋" w:hAnsi="仿宋" w:eastAsia="仿宋" w:cs="仿宋"/>
          <w:color w:val="auto"/>
          <w:sz w:val="28"/>
          <w:highlight w:val="none"/>
          <w:lang w:eastAsia="zh-CN"/>
        </w:rPr>
        <w:t>L</w:t>
      </w:r>
      <w:r>
        <w:rPr>
          <w:rFonts w:hint="eastAsia" w:ascii="仿宋" w:hAnsi="仿宋" w:eastAsia="仿宋" w:cs="仿宋"/>
          <w:color w:val="auto"/>
          <w:sz w:val="28"/>
          <w:highlight w:val="none"/>
        </w:rPr>
        <w:t>3级复评估，根据</w:t>
      </w:r>
      <w:r>
        <w:rPr>
          <w:rFonts w:hint="eastAsia" w:ascii="仿宋" w:hAnsi="仿宋" w:eastAsia="仿宋" w:cs="仿宋"/>
          <w:color w:val="auto"/>
          <w:sz w:val="28"/>
          <w:highlight w:val="none"/>
          <w:lang w:eastAsia="zh-CN"/>
        </w:rPr>
        <w:t>资质</w:t>
      </w:r>
      <w:r>
        <w:rPr>
          <w:rFonts w:hint="eastAsia" w:ascii="仿宋" w:hAnsi="仿宋" w:eastAsia="仿宋" w:cs="仿宋"/>
          <w:color w:val="auto"/>
          <w:sz w:val="28"/>
          <w:highlight w:val="none"/>
        </w:rPr>
        <w:t>要求CMMI</w:t>
      </w:r>
      <w:r>
        <w:rPr>
          <w:rFonts w:hint="eastAsia" w:ascii="仿宋" w:hAnsi="仿宋" w:eastAsia="仿宋" w:cs="仿宋"/>
          <w:color w:val="auto"/>
          <w:sz w:val="28"/>
          <w:highlight w:val="none"/>
          <w:lang w:val="en-US" w:eastAsia="zh-CN"/>
        </w:rPr>
        <w:t>-L</w:t>
      </w:r>
      <w:r>
        <w:rPr>
          <w:rFonts w:hint="eastAsia" w:ascii="仿宋" w:hAnsi="仿宋" w:eastAsia="仿宋" w:cs="仿宋"/>
          <w:color w:val="auto"/>
          <w:sz w:val="28"/>
          <w:highlight w:val="none"/>
        </w:rPr>
        <w:t>3每三年需要进行一次复评估工作，2026年我行已满三年，需再次开展新的CMMI</w:t>
      </w:r>
      <w:r>
        <w:rPr>
          <w:rFonts w:hint="eastAsia" w:ascii="仿宋" w:hAnsi="仿宋" w:eastAsia="仿宋" w:cs="仿宋"/>
          <w:color w:val="auto"/>
          <w:sz w:val="28"/>
          <w:highlight w:val="none"/>
          <w:lang w:val="en-US" w:eastAsia="zh-CN"/>
        </w:rPr>
        <w:t>-L</w:t>
      </w:r>
      <w:r>
        <w:rPr>
          <w:rFonts w:hint="eastAsia" w:ascii="仿宋" w:hAnsi="仿宋" w:eastAsia="仿宋" w:cs="仿宋"/>
          <w:color w:val="auto"/>
          <w:sz w:val="28"/>
          <w:highlight w:val="none"/>
        </w:rPr>
        <w:t>3复评工作。本次复评估将结合我行当前信息科技发展的实际情况，推进与落实CMMI-</w:t>
      </w:r>
      <w:r>
        <w:rPr>
          <w:rFonts w:hint="eastAsia" w:ascii="仿宋" w:hAnsi="仿宋" w:eastAsia="仿宋" w:cs="仿宋"/>
          <w:color w:val="auto"/>
          <w:sz w:val="28"/>
          <w:highlight w:val="none"/>
          <w:lang w:eastAsia="zh-CN"/>
        </w:rPr>
        <w:t>L</w:t>
      </w:r>
      <w:r>
        <w:rPr>
          <w:rFonts w:hint="eastAsia" w:ascii="仿宋" w:hAnsi="仿宋" w:eastAsia="仿宋" w:cs="仿宋"/>
          <w:color w:val="auto"/>
          <w:sz w:val="28"/>
          <w:highlight w:val="none"/>
        </w:rPr>
        <w:t>3认证（即软件能力成熟度基础模型）。</w:t>
      </w:r>
    </w:p>
    <w:p>
      <w:pPr>
        <w:pStyle w:val="3"/>
        <w:keepNext w:val="0"/>
        <w:keepLines w:val="0"/>
        <w:shd w:val="clear"/>
        <w:spacing w:before="0" w:after="0" w:line="560" w:lineRule="exact"/>
        <w:ind w:firstLine="562" w:firstLineChars="200"/>
        <w:rPr>
          <w:rFonts w:hint="eastAsia" w:ascii="Arial" w:hAnsi="Arial" w:eastAsia="仿宋" w:cs="Arial"/>
          <w:snapToGrid w:val="0"/>
          <w:color w:val="auto"/>
          <w:kern w:val="0"/>
          <w:sz w:val="28"/>
          <w:szCs w:val="28"/>
          <w:highlight w:val="none"/>
        </w:rPr>
      </w:pPr>
      <w:r>
        <w:rPr>
          <w:rFonts w:hint="eastAsia" w:ascii="Arial" w:hAnsi="Arial" w:eastAsia="仿宋" w:cs="Arial"/>
          <w:snapToGrid w:val="0"/>
          <w:color w:val="auto"/>
          <w:kern w:val="0"/>
          <w:sz w:val="28"/>
          <w:szCs w:val="28"/>
          <w:highlight w:val="none"/>
          <w:lang w:eastAsia="zh-CN"/>
        </w:rPr>
        <w:t>二、</w:t>
      </w:r>
      <w:r>
        <w:rPr>
          <w:rFonts w:hint="default" w:ascii="Arial" w:hAnsi="Arial" w:eastAsia="仿宋" w:cs="Arial"/>
          <w:snapToGrid w:val="0"/>
          <w:color w:val="auto"/>
          <w:kern w:val="0"/>
          <w:sz w:val="28"/>
          <w:szCs w:val="28"/>
          <w:highlight w:val="none"/>
        </w:rPr>
        <w:t>项</w:t>
      </w:r>
      <w:r>
        <w:rPr>
          <w:rFonts w:hint="eastAsia" w:ascii="Arial" w:hAnsi="Arial" w:eastAsia="仿宋" w:cs="Arial"/>
          <w:snapToGrid w:val="0"/>
          <w:color w:val="auto"/>
          <w:kern w:val="0"/>
          <w:sz w:val="28"/>
          <w:szCs w:val="28"/>
          <w:highlight w:val="none"/>
        </w:rPr>
        <w:t>目目标</w:t>
      </w:r>
    </w:p>
    <w:p>
      <w:pPr>
        <w:numPr>
          <w:ilvl w:val="0"/>
          <w:numId w:val="1"/>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提供实效方法导入、解决实际研发问题，提升部门成员管理理念、增强团队协作意识，梳理与优化现有工作流程、提升产品与服务质量，结合</w:t>
      </w:r>
      <w:r>
        <w:rPr>
          <w:rFonts w:hint="eastAsia" w:ascii="仿宋" w:hAnsi="仿宋" w:eastAsia="仿宋" w:cs="仿宋"/>
          <w:color w:val="auto"/>
          <w:sz w:val="28"/>
          <w:szCs w:val="28"/>
          <w:highlight w:val="none"/>
          <w:lang w:val="en-US" w:eastAsia="zh-CN"/>
        </w:rPr>
        <w:t>CMMI-V3.0模型要求</w:t>
      </w:r>
      <w:r>
        <w:rPr>
          <w:rFonts w:hint="eastAsia" w:ascii="仿宋" w:hAnsi="仿宋" w:eastAsia="仿宋" w:cs="仿宋"/>
          <w:color w:val="auto"/>
          <w:sz w:val="28"/>
          <w:szCs w:val="28"/>
          <w:highlight w:val="none"/>
          <w:lang w:val="zh-CN" w:eastAsia="zh-CN"/>
        </w:rPr>
        <w:t>优化现有的研发管理制度，并实现平滑推广、提高人员职业素养，加强项目进度、质量、成本控制；</w:t>
      </w:r>
    </w:p>
    <w:p>
      <w:pPr>
        <w:numPr>
          <w:ilvl w:val="0"/>
          <w:numId w:val="1"/>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在现有研发管理模式基础上，进一步梳理并优化符合CMMI模型要求的、融合现有研发体系的、包含现有项目类型的、具备可操作性的、简洁高效的研发管理体系；</w:t>
      </w:r>
    </w:p>
    <w:p>
      <w:pPr>
        <w:numPr>
          <w:ilvl w:val="0"/>
          <w:numId w:val="1"/>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提高软件开发水平和效率，提高软件产品的质量和可靠性；</w:t>
      </w:r>
    </w:p>
    <w:p>
      <w:pPr>
        <w:numPr>
          <w:ilvl w:val="0"/>
          <w:numId w:val="1"/>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加强项目需求分析和变更管控的能力，确保需求的一致性、无二义性、可验证性；</w:t>
      </w:r>
    </w:p>
    <w:p>
      <w:pPr>
        <w:numPr>
          <w:ilvl w:val="0"/>
          <w:numId w:val="1"/>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强化项目管理能力以及开发人员的质量意识，确保项目进展顺利和提升产品质量；</w:t>
      </w:r>
    </w:p>
    <w:p>
      <w:pPr>
        <w:numPr>
          <w:ilvl w:val="0"/>
          <w:numId w:val="1"/>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强化测试能力，提高测试团队的技术水平，提升测试效率；</w:t>
      </w:r>
    </w:p>
    <w:p>
      <w:pPr>
        <w:numPr>
          <w:ilvl w:val="0"/>
          <w:numId w:val="1"/>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实施</w:t>
      </w:r>
      <w:r>
        <w:rPr>
          <w:rFonts w:hint="eastAsia" w:ascii="仿宋" w:hAnsi="仿宋" w:eastAsia="仿宋" w:cs="仿宋"/>
          <w:color w:val="auto"/>
          <w:sz w:val="28"/>
          <w:szCs w:val="28"/>
          <w:highlight w:val="none"/>
          <w:lang w:val="en-US" w:eastAsia="zh-CN"/>
        </w:rPr>
        <w:t>CMMI-L3过程改进培训</w:t>
      </w:r>
      <w:r>
        <w:rPr>
          <w:rFonts w:hint="eastAsia" w:ascii="仿宋" w:hAnsi="仿宋" w:eastAsia="仿宋" w:cs="仿宋"/>
          <w:color w:val="auto"/>
          <w:sz w:val="28"/>
          <w:szCs w:val="28"/>
          <w:highlight w:val="none"/>
          <w:lang w:val="zh-CN" w:eastAsia="zh-CN"/>
        </w:rPr>
        <w:t>，夯实科技各角色能力，激发效能增长新动能。</w:t>
      </w:r>
    </w:p>
    <w:p>
      <w:pPr>
        <w:pStyle w:val="3"/>
        <w:keepNext w:val="0"/>
        <w:keepLines w:val="0"/>
        <w:shd w:val="clear"/>
        <w:spacing w:before="0" w:after="0" w:line="560" w:lineRule="exact"/>
        <w:ind w:firstLine="562" w:firstLineChars="200"/>
        <w:rPr>
          <w:rFonts w:hint="eastAsia" w:ascii="Arial" w:hAnsi="Arial" w:eastAsia="仿宋" w:cs="Arial"/>
          <w:snapToGrid w:val="0"/>
          <w:color w:val="auto"/>
          <w:kern w:val="0"/>
          <w:sz w:val="28"/>
          <w:szCs w:val="28"/>
          <w:highlight w:val="none"/>
          <w:lang w:eastAsia="zh-CN"/>
        </w:rPr>
      </w:pPr>
      <w:r>
        <w:rPr>
          <w:rFonts w:hint="eastAsia" w:ascii="Arial" w:hAnsi="Arial" w:eastAsia="仿宋" w:cs="Arial"/>
          <w:snapToGrid w:val="0"/>
          <w:color w:val="auto"/>
          <w:kern w:val="0"/>
          <w:sz w:val="28"/>
          <w:szCs w:val="28"/>
          <w:highlight w:val="none"/>
          <w:lang w:eastAsia="zh-CN"/>
        </w:rPr>
        <w:t>三、</w:t>
      </w:r>
      <w:r>
        <w:rPr>
          <w:rFonts w:hint="eastAsia" w:ascii="Arial" w:hAnsi="Arial" w:eastAsia="仿宋" w:cs="Arial"/>
          <w:snapToGrid w:val="0"/>
          <w:color w:val="auto"/>
          <w:kern w:val="0"/>
          <w:sz w:val="28"/>
          <w:szCs w:val="28"/>
          <w:highlight w:val="none"/>
        </w:rPr>
        <w:t>项目</w:t>
      </w:r>
      <w:r>
        <w:rPr>
          <w:rFonts w:hint="eastAsia" w:ascii="Arial" w:hAnsi="Arial" w:eastAsia="仿宋" w:cs="Arial"/>
          <w:snapToGrid w:val="0"/>
          <w:color w:val="auto"/>
          <w:kern w:val="0"/>
          <w:sz w:val="28"/>
          <w:szCs w:val="28"/>
          <w:highlight w:val="none"/>
          <w:lang w:eastAsia="zh-CN"/>
        </w:rPr>
        <w:t>需求</w:t>
      </w:r>
    </w:p>
    <w:p>
      <w:pPr>
        <w:numPr>
          <w:ilvl w:val="0"/>
          <w:numId w:val="2"/>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基于现有管理模式，梳理符合CMMIV3.0模型要求的、融合现有研发体系的、包含现有项目类型的、具备可操作性的、简洁高效的研发管理体系，结合敏捷开发思想，挑选1~2个项目进行至少2轮的迭代教练指导，使其在项目组贯彻落实；</w:t>
      </w:r>
    </w:p>
    <w:p>
      <w:pPr>
        <w:numPr>
          <w:ilvl w:val="0"/>
          <w:numId w:val="2"/>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体系建设应覆盖CMMI-L3级要求，建立体系规范流程，流程可剪裁和自定义，可跟踪；根据研发过程中不同业务的特点，提供相应的流程管理所需的过程、方法、模板、指南；</w:t>
      </w:r>
    </w:p>
    <w:p>
      <w:pPr>
        <w:numPr>
          <w:ilvl w:val="0"/>
          <w:numId w:val="2"/>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提供针对软件研发项目管理工具的优化改进建议，并满足CMMI-L3级所有过程域的内容要求；</w:t>
      </w:r>
    </w:p>
    <w:p>
      <w:pPr>
        <w:numPr>
          <w:ilvl w:val="0"/>
          <w:numId w:val="2"/>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结合</w:t>
      </w:r>
      <w:r>
        <w:rPr>
          <w:rFonts w:hint="eastAsia" w:ascii="仿宋" w:hAnsi="仿宋" w:eastAsia="仿宋" w:cs="仿宋"/>
          <w:color w:val="auto"/>
          <w:sz w:val="28"/>
          <w:szCs w:val="28"/>
          <w:highlight w:val="none"/>
          <w:lang w:val="en-US" w:eastAsia="zh-CN"/>
        </w:rPr>
        <w:t>CMMI模型中的研发模型，服务模型，数据模型等，提供融合体系咨询服务</w:t>
      </w:r>
      <w:r>
        <w:rPr>
          <w:rFonts w:hint="eastAsia" w:ascii="仿宋" w:hAnsi="仿宋" w:eastAsia="仿宋" w:cs="仿宋"/>
          <w:color w:val="auto"/>
          <w:sz w:val="28"/>
          <w:szCs w:val="28"/>
          <w:highlight w:val="none"/>
          <w:lang w:val="zh-CN" w:eastAsia="zh-CN"/>
        </w:rPr>
        <w:t>；</w:t>
      </w:r>
    </w:p>
    <w:p>
      <w:pPr>
        <w:numPr>
          <w:ilvl w:val="0"/>
          <w:numId w:val="2"/>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提供涉及规模与工作量估算、敏捷方法、统计过程控制、同行评审及代码走查等质量保证措施、外包选型标准、风险防范经验等实际问题咨询；</w:t>
      </w:r>
    </w:p>
    <w:p>
      <w:pPr>
        <w:numPr>
          <w:ilvl w:val="0"/>
          <w:numId w:val="2"/>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投标人应提供以下培训与资料：</w:t>
      </w:r>
    </w:p>
    <w:p>
      <w:pPr>
        <w:numPr>
          <w:ilvl w:val="0"/>
          <w:numId w:val="0"/>
        </w:numPr>
        <w:shd w:val="clear"/>
        <w:overflowPunct w:val="0"/>
        <w:snapToGrid w:val="0"/>
        <w:spacing w:before="120" w:line="360" w:lineRule="auto"/>
        <w:ind w:left="0" w:leftChars="0" w:firstLine="280" w:firstLineChars="10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‐提供包含CMMI模型、项目管理、敏捷开发、软件度量、同行评审、需求工程、功能点估算等专题培训及相关问题研讨；</w:t>
      </w:r>
    </w:p>
    <w:p>
      <w:pPr>
        <w:numPr>
          <w:ilvl w:val="0"/>
          <w:numId w:val="0"/>
        </w:numPr>
        <w:shd w:val="clear"/>
        <w:overflowPunct w:val="0"/>
        <w:snapToGrid w:val="0"/>
        <w:spacing w:before="120" w:line="360" w:lineRule="auto"/>
        <w:ind w:left="0" w:leftChars="0" w:firstLine="280" w:firstLineChars="10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‐提供必要的CMMI研究院注册的Introduction to CMMI培训学员证书；</w:t>
      </w:r>
    </w:p>
    <w:p>
      <w:pPr>
        <w:numPr>
          <w:ilvl w:val="0"/>
          <w:numId w:val="0"/>
        </w:numPr>
        <w:shd w:val="clear"/>
        <w:overflowPunct w:val="0"/>
        <w:snapToGrid w:val="0"/>
        <w:spacing w:before="120" w:line="360" w:lineRule="auto"/>
        <w:ind w:left="0" w:leftChars="0" w:firstLine="280" w:firstLineChars="10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‐提供投标人实施咨询过程中所涉及的多种模型的培训；</w:t>
      </w:r>
    </w:p>
    <w:p>
      <w:pPr>
        <w:numPr>
          <w:ilvl w:val="0"/>
          <w:numId w:val="0"/>
        </w:numPr>
        <w:shd w:val="clear"/>
        <w:overflowPunct w:val="0"/>
        <w:snapToGrid w:val="0"/>
        <w:spacing w:before="120" w:line="360" w:lineRule="auto"/>
        <w:ind w:left="0" w:leftChars="0" w:firstLine="280" w:firstLineChars="100"/>
        <w:textAlignment w:val="bottom"/>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eastAsia="zh-CN"/>
        </w:rPr>
        <w:t>‐提供</w:t>
      </w:r>
      <w:r>
        <w:rPr>
          <w:rFonts w:hint="eastAsia" w:ascii="仿宋" w:hAnsi="仿宋" w:eastAsia="仿宋" w:cs="仿宋"/>
          <w:color w:val="auto"/>
          <w:sz w:val="28"/>
          <w:szCs w:val="28"/>
          <w:highlight w:val="none"/>
          <w:lang w:val="en-US" w:eastAsia="zh-CN"/>
        </w:rPr>
        <w:t>针对我行现有的项目管理实践的优化策略和赋能方案；</w:t>
      </w:r>
    </w:p>
    <w:p>
      <w:pPr>
        <w:numPr>
          <w:ilvl w:val="0"/>
          <w:numId w:val="0"/>
        </w:numPr>
        <w:shd w:val="clear"/>
        <w:overflowPunct w:val="0"/>
        <w:snapToGrid w:val="0"/>
        <w:spacing w:before="120" w:line="360" w:lineRule="auto"/>
        <w:ind w:left="0" w:leftChars="0" w:firstLine="280" w:firstLineChars="10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‐提供实施过程改进中各服务活动的明确定义；</w:t>
      </w:r>
    </w:p>
    <w:p>
      <w:pPr>
        <w:numPr>
          <w:ilvl w:val="0"/>
          <w:numId w:val="0"/>
        </w:numPr>
        <w:shd w:val="clear"/>
        <w:overflowPunct w:val="0"/>
        <w:snapToGrid w:val="0"/>
        <w:spacing w:before="120" w:line="360" w:lineRule="auto"/>
        <w:ind w:left="0" w:leftChars="0" w:firstLine="280" w:firstLineChars="10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‐提供实施过程改进甲乙双方资源的投入情况及选定角色的要求；</w:t>
      </w:r>
    </w:p>
    <w:p>
      <w:pPr>
        <w:numPr>
          <w:ilvl w:val="0"/>
          <w:numId w:val="0"/>
        </w:numPr>
        <w:shd w:val="clear"/>
        <w:overflowPunct w:val="0"/>
        <w:snapToGrid w:val="0"/>
        <w:spacing w:before="120" w:line="360" w:lineRule="auto"/>
        <w:ind w:left="0" w:leftChars="0" w:firstLine="280" w:firstLineChars="10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‐提供典型案例的分析及业内软件开发标杆数据；</w:t>
      </w:r>
    </w:p>
    <w:p>
      <w:pPr>
        <w:numPr>
          <w:ilvl w:val="0"/>
          <w:numId w:val="2"/>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基于CMMI-</w:t>
      </w:r>
      <w:r>
        <w:rPr>
          <w:rFonts w:hint="eastAsia" w:ascii="仿宋" w:hAnsi="仿宋" w:eastAsia="仿宋" w:cs="仿宋"/>
          <w:color w:val="auto"/>
          <w:sz w:val="28"/>
          <w:szCs w:val="28"/>
          <w:highlight w:val="none"/>
          <w:lang w:val="en-US" w:eastAsia="zh-CN"/>
        </w:rPr>
        <w:t>L</w:t>
      </w:r>
      <w:r>
        <w:rPr>
          <w:rFonts w:hint="eastAsia" w:ascii="仿宋" w:hAnsi="仿宋" w:eastAsia="仿宋" w:cs="仿宋"/>
          <w:color w:val="auto"/>
          <w:sz w:val="28"/>
          <w:szCs w:val="28"/>
          <w:highlight w:val="none"/>
          <w:lang w:val="zh-CN" w:eastAsia="zh-CN"/>
        </w:rPr>
        <w:t>5认证提供相应的基础培训，为我行今后的CMMI-</w:t>
      </w:r>
      <w:r>
        <w:rPr>
          <w:rFonts w:hint="eastAsia" w:ascii="仿宋" w:hAnsi="仿宋" w:eastAsia="仿宋" w:cs="仿宋"/>
          <w:color w:val="auto"/>
          <w:sz w:val="28"/>
          <w:szCs w:val="28"/>
          <w:highlight w:val="none"/>
          <w:lang w:val="en-US" w:eastAsia="zh-CN"/>
        </w:rPr>
        <w:t>L</w:t>
      </w:r>
      <w:r>
        <w:rPr>
          <w:rFonts w:hint="eastAsia" w:ascii="仿宋" w:hAnsi="仿宋" w:eastAsia="仿宋" w:cs="仿宋"/>
          <w:color w:val="auto"/>
          <w:sz w:val="28"/>
          <w:szCs w:val="28"/>
          <w:highlight w:val="none"/>
          <w:lang w:val="zh-CN" w:eastAsia="zh-CN"/>
        </w:rPr>
        <w:t>5认证奠定基础</w:t>
      </w:r>
      <w:r>
        <w:rPr>
          <w:rFonts w:hint="eastAsia" w:ascii="仿宋" w:hAnsi="仿宋" w:eastAsia="仿宋" w:cs="仿宋"/>
          <w:color w:val="auto"/>
          <w:sz w:val="28"/>
          <w:szCs w:val="28"/>
          <w:highlight w:val="none"/>
          <w:lang w:val="en-US" w:eastAsia="zh-CN"/>
        </w:rPr>
        <w:t>;</w:t>
      </w:r>
    </w:p>
    <w:p>
      <w:pPr>
        <w:numPr>
          <w:ilvl w:val="0"/>
          <w:numId w:val="2"/>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结合我行现有的度量指标，优化度量体系，赋能科技治理；</w:t>
      </w:r>
    </w:p>
    <w:p>
      <w:pPr>
        <w:numPr>
          <w:ilvl w:val="0"/>
          <w:numId w:val="2"/>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实现实效改进，体现改进效果，最终通过CMMI</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zh-CN" w:eastAsia="zh-CN"/>
        </w:rPr>
        <w:t>L3</w:t>
      </w:r>
      <w:r>
        <w:rPr>
          <w:rFonts w:hint="eastAsia" w:ascii="仿宋" w:hAnsi="仿宋" w:eastAsia="仿宋" w:cs="仿宋"/>
          <w:color w:val="auto"/>
          <w:sz w:val="28"/>
          <w:szCs w:val="28"/>
          <w:highlight w:val="none"/>
          <w:lang w:val="zh-CN"/>
        </w:rPr>
        <w:t>级复评工作</w:t>
      </w:r>
      <w:r>
        <w:rPr>
          <w:rFonts w:hint="eastAsia" w:ascii="仿宋" w:hAnsi="仿宋" w:eastAsia="仿宋" w:cs="仿宋"/>
          <w:color w:val="auto"/>
          <w:sz w:val="28"/>
          <w:szCs w:val="28"/>
          <w:highlight w:val="none"/>
          <w:lang w:val="zh-CN" w:eastAsia="zh-CN"/>
        </w:rPr>
        <w:t>，使我行具备持续</w:t>
      </w:r>
      <w:r>
        <w:rPr>
          <w:rFonts w:hint="eastAsia" w:ascii="仿宋" w:hAnsi="仿宋" w:eastAsia="仿宋" w:cs="仿宋"/>
          <w:color w:val="auto"/>
          <w:sz w:val="28"/>
          <w:szCs w:val="28"/>
          <w:highlight w:val="none"/>
          <w:lang w:val="zh-CN"/>
        </w:rPr>
        <w:t>的过程</w:t>
      </w:r>
      <w:r>
        <w:rPr>
          <w:rFonts w:hint="eastAsia" w:ascii="仿宋" w:hAnsi="仿宋" w:eastAsia="仿宋" w:cs="仿宋"/>
          <w:color w:val="auto"/>
          <w:sz w:val="28"/>
          <w:szCs w:val="28"/>
          <w:highlight w:val="none"/>
          <w:lang w:val="zh-CN" w:eastAsia="zh-CN"/>
        </w:rPr>
        <w:t>改进能力</w:t>
      </w:r>
      <w:r>
        <w:rPr>
          <w:rFonts w:hint="eastAsia" w:ascii="仿宋" w:hAnsi="仿宋" w:eastAsia="仿宋" w:cs="仿宋"/>
          <w:color w:val="auto"/>
          <w:sz w:val="28"/>
          <w:szCs w:val="28"/>
          <w:highlight w:val="none"/>
          <w:lang w:val="zh-CN"/>
        </w:rPr>
        <w:t>与交付能力</w:t>
      </w:r>
      <w:r>
        <w:rPr>
          <w:rFonts w:hint="eastAsia" w:ascii="仿宋" w:hAnsi="仿宋" w:eastAsia="仿宋" w:cs="仿宋"/>
          <w:color w:val="auto"/>
          <w:sz w:val="28"/>
          <w:szCs w:val="28"/>
          <w:highlight w:val="none"/>
          <w:lang w:val="en-US" w:eastAsia="zh-CN"/>
        </w:rPr>
        <w:t>;</w:t>
      </w:r>
    </w:p>
    <w:p>
      <w:pPr>
        <w:numPr>
          <w:ilvl w:val="0"/>
          <w:numId w:val="2"/>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项目结束后提供3年免费后续服务（每年至少有两次的现场回访活动）。</w:t>
      </w:r>
    </w:p>
    <w:p>
      <w:pPr>
        <w:pStyle w:val="3"/>
        <w:keepNext w:val="0"/>
        <w:keepLines w:val="0"/>
        <w:shd w:val="clear"/>
        <w:spacing w:before="0" w:after="0" w:line="560" w:lineRule="exact"/>
        <w:ind w:firstLine="562" w:firstLineChars="200"/>
        <w:rPr>
          <w:rFonts w:hint="eastAsia" w:ascii="Arial" w:hAnsi="Arial" w:eastAsia="仿宋" w:cs="Arial"/>
          <w:snapToGrid w:val="0"/>
          <w:color w:val="auto"/>
          <w:kern w:val="0"/>
          <w:sz w:val="28"/>
          <w:szCs w:val="28"/>
          <w:highlight w:val="none"/>
        </w:rPr>
      </w:pPr>
      <w:r>
        <w:rPr>
          <w:rFonts w:hint="eastAsia" w:ascii="Arial" w:hAnsi="Arial" w:eastAsia="仿宋" w:cs="Arial"/>
          <w:snapToGrid w:val="0"/>
          <w:color w:val="auto"/>
          <w:kern w:val="0"/>
          <w:sz w:val="28"/>
          <w:szCs w:val="28"/>
          <w:highlight w:val="none"/>
          <w:lang w:eastAsia="zh-CN"/>
        </w:rPr>
        <w:t>四、</w:t>
      </w:r>
      <w:r>
        <w:rPr>
          <w:rFonts w:hint="eastAsia" w:ascii="Arial" w:hAnsi="Arial" w:eastAsia="仿宋" w:cs="Arial"/>
          <w:snapToGrid w:val="0"/>
          <w:color w:val="auto"/>
          <w:kern w:val="0"/>
          <w:sz w:val="28"/>
          <w:szCs w:val="28"/>
          <w:highlight w:val="none"/>
        </w:rPr>
        <w:t>质量保证</w:t>
      </w:r>
    </w:p>
    <w:p>
      <w:pPr>
        <w:numPr>
          <w:ilvl w:val="0"/>
          <w:numId w:val="3"/>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供应商将按照供应商公司质量要求制定本项目的质量管理方针；</w:t>
      </w:r>
    </w:p>
    <w:p>
      <w:pPr>
        <w:numPr>
          <w:ilvl w:val="0"/>
          <w:numId w:val="3"/>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供应商将按照供咨询服务管理过程将合同和本招标要求转化为项目计划，并按照项目计划提供咨询服务，完成本项目；</w:t>
      </w:r>
    </w:p>
    <w:p>
      <w:pPr>
        <w:numPr>
          <w:ilvl w:val="0"/>
          <w:numId w:val="3"/>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供应商应定期对项目情况进行质量审计；</w:t>
      </w:r>
    </w:p>
    <w:p>
      <w:pPr>
        <w:numPr>
          <w:ilvl w:val="0"/>
          <w:numId w:val="3"/>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供应商应制定项目变更管理规范；</w:t>
      </w:r>
    </w:p>
    <w:p>
      <w:pPr>
        <w:numPr>
          <w:ilvl w:val="0"/>
          <w:numId w:val="3"/>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供应商应对售后质量保证服务做出承诺;</w:t>
      </w:r>
    </w:p>
    <w:p>
      <w:pPr>
        <w:numPr>
          <w:ilvl w:val="0"/>
          <w:numId w:val="3"/>
        </w:numPr>
        <w:shd w:val="clear"/>
        <w:overflowPunct w:val="0"/>
        <w:snapToGrid w:val="0"/>
        <w:spacing w:before="120" w:line="360" w:lineRule="auto"/>
        <w:ind w:left="0" w:leftChars="0" w:firstLine="403" w:firstLineChars="0"/>
        <w:textAlignment w:val="bottom"/>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eastAsia="zh-CN"/>
        </w:rPr>
        <w:t>供应商的所有交付物需得到我行的验收才能交付。</w:t>
      </w:r>
    </w:p>
    <w:p>
      <w:pPr>
        <w:shd w:val="clear"/>
        <w:spacing w:before="120"/>
        <w:rPr>
          <w:rFonts w:hint="eastAsia" w:ascii="仿宋" w:hAnsi="仿宋" w:eastAsia="仿宋" w:cs="仿宋"/>
          <w:color w:val="auto"/>
          <w:szCs w:val="21"/>
          <w:highlight w:val="none"/>
          <w:lang w:val="zh-CN" w:eastAsia="zh-CN"/>
        </w:rPr>
      </w:pPr>
    </w:p>
    <w:p>
      <w:pPr>
        <w:shd w:val="clear"/>
        <w:tabs>
          <w:tab w:val="left" w:pos="720"/>
        </w:tabs>
        <w:spacing w:line="300"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人员清单表</w:t>
      </w:r>
    </w:p>
    <w:p>
      <w:pPr>
        <w:shd w:val="clear"/>
        <w:rPr>
          <w:rFonts w:hint="eastAsia" w:ascii="仿宋" w:hAnsi="仿宋" w:eastAsia="仿宋" w:cs="仿宋"/>
          <w:color w:val="auto"/>
          <w:sz w:val="28"/>
          <w:szCs w:val="28"/>
          <w:highlight w:val="none"/>
        </w:rPr>
      </w:pPr>
    </w:p>
    <w:tbl>
      <w:tblPr>
        <w:tblStyle w:val="13"/>
        <w:tblW w:w="5000" w:type="pct"/>
        <w:jc w:val="center"/>
        <w:tblLayout w:type="autofit"/>
        <w:tblCellMar>
          <w:top w:w="0" w:type="dxa"/>
          <w:left w:w="108" w:type="dxa"/>
          <w:bottom w:w="0" w:type="dxa"/>
          <w:right w:w="108" w:type="dxa"/>
        </w:tblCellMar>
      </w:tblPr>
      <w:tblGrid>
        <w:gridCol w:w="593"/>
        <w:gridCol w:w="888"/>
        <w:gridCol w:w="2178"/>
        <w:gridCol w:w="903"/>
        <w:gridCol w:w="2492"/>
        <w:gridCol w:w="1468"/>
      </w:tblGrid>
      <w:tr>
        <w:tblPrEx>
          <w:tblCellMar>
            <w:top w:w="0" w:type="dxa"/>
            <w:left w:w="108" w:type="dxa"/>
            <w:bottom w:w="0" w:type="dxa"/>
            <w:right w:w="108" w:type="dxa"/>
          </w:tblCellMar>
        </w:tblPrEx>
        <w:trPr>
          <w:trHeight w:val="510" w:hRule="atLeast"/>
          <w:tblHeader/>
          <w:jc w:val="center"/>
        </w:trPr>
        <w:tc>
          <w:tcPr>
            <w:tcW w:w="348"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序号</w:t>
            </w:r>
          </w:p>
        </w:tc>
        <w:tc>
          <w:tcPr>
            <w:tcW w:w="521" w:type="pct"/>
            <w:tcBorders>
              <w:top w:val="single" w:color="auto" w:sz="4" w:space="0"/>
              <w:left w:val="nil"/>
              <w:bottom w:val="single" w:color="auto" w:sz="4" w:space="0"/>
              <w:right w:val="nil"/>
            </w:tcBorders>
            <w:shd w:val="clear" w:color="auto" w:fill="D9D9D9"/>
            <w:vAlign w:val="center"/>
          </w:tcPr>
          <w:p>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姓名</w:t>
            </w:r>
          </w:p>
        </w:tc>
        <w:tc>
          <w:tcPr>
            <w:tcW w:w="1278" w:type="pct"/>
            <w:tcBorders>
              <w:top w:val="single" w:color="auto" w:sz="4" w:space="0"/>
              <w:left w:val="single" w:color="auto" w:sz="4" w:space="0"/>
              <w:bottom w:val="single" w:color="auto" w:sz="4" w:space="0"/>
              <w:right w:val="single" w:color="auto" w:sz="4" w:space="0"/>
            </w:tcBorders>
            <w:shd w:val="clear" w:color="auto" w:fill="D9D9D9"/>
            <w:vAlign w:val="center"/>
          </w:tcPr>
          <w:p>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身份证号</w:t>
            </w:r>
          </w:p>
        </w:tc>
        <w:tc>
          <w:tcPr>
            <w:tcW w:w="530" w:type="pct"/>
            <w:tcBorders>
              <w:top w:val="single" w:color="auto" w:sz="4" w:space="0"/>
              <w:left w:val="nil"/>
              <w:bottom w:val="single" w:color="auto" w:sz="4" w:space="0"/>
              <w:right w:val="single" w:color="auto" w:sz="4" w:space="0"/>
            </w:tcBorders>
            <w:shd w:val="clear" w:color="auto" w:fill="D9D9D9"/>
            <w:vAlign w:val="center"/>
          </w:tcPr>
          <w:p>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参与阶段/主要工作</w:t>
            </w:r>
          </w:p>
        </w:tc>
        <w:tc>
          <w:tcPr>
            <w:tcW w:w="1462" w:type="pct"/>
            <w:tcBorders>
              <w:top w:val="single" w:color="auto" w:sz="4" w:space="0"/>
              <w:left w:val="nil"/>
              <w:bottom w:val="single" w:color="auto" w:sz="4" w:space="0"/>
              <w:right w:val="single" w:color="auto" w:sz="4" w:space="0"/>
            </w:tcBorders>
            <w:shd w:val="clear" w:color="auto" w:fill="D9D9D9"/>
            <w:vAlign w:val="center"/>
          </w:tcPr>
          <w:p>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技能</w:t>
            </w:r>
          </w:p>
        </w:tc>
        <w:tc>
          <w:tcPr>
            <w:tcW w:w="861" w:type="pct"/>
            <w:tcBorders>
              <w:top w:val="single" w:color="auto" w:sz="4" w:space="0"/>
              <w:left w:val="nil"/>
              <w:bottom w:val="single" w:color="auto" w:sz="4" w:space="0"/>
              <w:right w:val="single" w:color="auto" w:sz="4" w:space="0"/>
            </w:tcBorders>
            <w:shd w:val="clear" w:color="auto" w:fill="D9D9D9"/>
            <w:vAlign w:val="center"/>
          </w:tcPr>
          <w:p>
            <w:pPr>
              <w:widowControl/>
              <w:shd w:val="clear"/>
              <w:jc w:val="center"/>
              <w:rPr>
                <w:rFonts w:hint="eastAsia"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资质证书名称</w:t>
            </w:r>
          </w:p>
        </w:tc>
      </w:tr>
      <w:tr>
        <w:tblPrEx>
          <w:tblCellMar>
            <w:top w:w="0" w:type="dxa"/>
            <w:left w:w="108" w:type="dxa"/>
            <w:bottom w:w="0" w:type="dxa"/>
            <w:right w:w="108" w:type="dxa"/>
          </w:tblCellMar>
        </w:tblPrEx>
        <w:trPr>
          <w:trHeight w:val="706"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仿宋" w:hAnsi="仿宋" w:eastAsia="仿宋" w:cs="仿宋"/>
                <w:color w:val="auto"/>
                <w:kern w:val="0"/>
                <w:szCs w:val="21"/>
                <w:highlight w:val="none"/>
              </w:rPr>
            </w:pPr>
          </w:p>
        </w:tc>
        <w:tc>
          <w:tcPr>
            <w:tcW w:w="521" w:type="pct"/>
            <w:tcBorders>
              <w:top w:val="nil"/>
              <w:left w:val="nil"/>
              <w:bottom w:val="single" w:color="auto" w:sz="4" w:space="0"/>
              <w:right w:val="nil"/>
            </w:tcBorders>
            <w:shd w:val="clear" w:color="auto" w:fill="auto"/>
            <w:vAlign w:val="center"/>
          </w:tcPr>
          <w:p>
            <w:pPr>
              <w:widowControl/>
              <w:shd w:val="clear"/>
              <w:jc w:val="center"/>
              <w:rPr>
                <w:rFonts w:hint="eastAsia" w:ascii="仿宋" w:hAnsi="仿宋" w:eastAsia="仿宋" w:cs="仿宋"/>
                <w:color w:val="auto"/>
                <w:kern w:val="0"/>
                <w:szCs w:val="21"/>
                <w:highlight w:val="none"/>
              </w:rPr>
            </w:pPr>
          </w:p>
        </w:tc>
        <w:tc>
          <w:tcPr>
            <w:tcW w:w="1278" w:type="pct"/>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hint="eastAsia" w:ascii="仿宋" w:hAnsi="仿宋" w:eastAsia="仿宋" w:cs="仿宋"/>
                <w:color w:val="auto"/>
                <w:kern w:val="0"/>
                <w:szCs w:val="21"/>
                <w:highlight w:val="none"/>
              </w:rPr>
            </w:pPr>
          </w:p>
        </w:tc>
        <w:tc>
          <w:tcPr>
            <w:tcW w:w="530"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c>
          <w:tcPr>
            <w:tcW w:w="1462"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c>
          <w:tcPr>
            <w:tcW w:w="861"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r>
      <w:tr>
        <w:tblPrEx>
          <w:tblCellMar>
            <w:top w:w="0" w:type="dxa"/>
            <w:left w:w="108" w:type="dxa"/>
            <w:bottom w:w="0" w:type="dxa"/>
            <w:right w:w="108" w:type="dxa"/>
          </w:tblCellMar>
        </w:tblPrEx>
        <w:trPr>
          <w:trHeight w:val="560"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仿宋" w:hAnsi="仿宋" w:eastAsia="仿宋" w:cs="仿宋"/>
                <w:color w:val="auto"/>
                <w:kern w:val="0"/>
                <w:szCs w:val="21"/>
                <w:highlight w:val="none"/>
              </w:rPr>
            </w:pPr>
          </w:p>
        </w:tc>
        <w:tc>
          <w:tcPr>
            <w:tcW w:w="521" w:type="pct"/>
            <w:tcBorders>
              <w:top w:val="nil"/>
              <w:left w:val="nil"/>
              <w:bottom w:val="single" w:color="auto" w:sz="4" w:space="0"/>
              <w:right w:val="nil"/>
            </w:tcBorders>
            <w:shd w:val="clear" w:color="auto" w:fill="auto"/>
            <w:vAlign w:val="center"/>
          </w:tcPr>
          <w:p>
            <w:pPr>
              <w:widowControl/>
              <w:shd w:val="clear"/>
              <w:jc w:val="center"/>
              <w:rPr>
                <w:rFonts w:hint="eastAsia" w:ascii="仿宋" w:hAnsi="仿宋" w:eastAsia="仿宋" w:cs="仿宋"/>
                <w:color w:val="auto"/>
                <w:kern w:val="0"/>
                <w:szCs w:val="21"/>
                <w:highlight w:val="none"/>
              </w:rPr>
            </w:pPr>
          </w:p>
        </w:tc>
        <w:tc>
          <w:tcPr>
            <w:tcW w:w="1278" w:type="pct"/>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hint="eastAsia" w:ascii="仿宋" w:hAnsi="仿宋" w:eastAsia="仿宋" w:cs="仿宋"/>
                <w:color w:val="auto"/>
                <w:kern w:val="0"/>
                <w:szCs w:val="21"/>
                <w:highlight w:val="none"/>
              </w:rPr>
            </w:pPr>
          </w:p>
        </w:tc>
        <w:tc>
          <w:tcPr>
            <w:tcW w:w="530"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c>
          <w:tcPr>
            <w:tcW w:w="1462"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c>
          <w:tcPr>
            <w:tcW w:w="861"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r>
      <w:tr>
        <w:tblPrEx>
          <w:tblCellMar>
            <w:top w:w="0" w:type="dxa"/>
            <w:left w:w="108" w:type="dxa"/>
            <w:bottom w:w="0" w:type="dxa"/>
            <w:right w:w="108" w:type="dxa"/>
          </w:tblCellMar>
        </w:tblPrEx>
        <w:trPr>
          <w:trHeight w:val="696"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仿宋" w:hAnsi="仿宋" w:eastAsia="仿宋" w:cs="仿宋"/>
                <w:color w:val="auto"/>
                <w:kern w:val="0"/>
                <w:szCs w:val="21"/>
                <w:highlight w:val="none"/>
              </w:rPr>
            </w:pPr>
          </w:p>
        </w:tc>
        <w:tc>
          <w:tcPr>
            <w:tcW w:w="521" w:type="pct"/>
            <w:tcBorders>
              <w:top w:val="nil"/>
              <w:left w:val="nil"/>
              <w:bottom w:val="single" w:color="auto" w:sz="4" w:space="0"/>
              <w:right w:val="nil"/>
            </w:tcBorders>
            <w:shd w:val="clear" w:color="auto" w:fill="auto"/>
            <w:vAlign w:val="center"/>
          </w:tcPr>
          <w:p>
            <w:pPr>
              <w:widowControl/>
              <w:shd w:val="clear"/>
              <w:jc w:val="center"/>
              <w:rPr>
                <w:rFonts w:hint="eastAsia" w:ascii="仿宋" w:hAnsi="仿宋" w:eastAsia="仿宋" w:cs="仿宋"/>
                <w:color w:val="auto"/>
                <w:kern w:val="0"/>
                <w:szCs w:val="21"/>
                <w:highlight w:val="none"/>
              </w:rPr>
            </w:pPr>
          </w:p>
        </w:tc>
        <w:tc>
          <w:tcPr>
            <w:tcW w:w="1278" w:type="pct"/>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hint="eastAsia" w:ascii="仿宋" w:hAnsi="仿宋" w:eastAsia="仿宋" w:cs="仿宋"/>
                <w:color w:val="auto"/>
                <w:kern w:val="0"/>
                <w:szCs w:val="21"/>
                <w:highlight w:val="none"/>
              </w:rPr>
            </w:pPr>
          </w:p>
        </w:tc>
        <w:tc>
          <w:tcPr>
            <w:tcW w:w="530"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c>
          <w:tcPr>
            <w:tcW w:w="1462"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c>
          <w:tcPr>
            <w:tcW w:w="861"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r>
      <w:tr>
        <w:tblPrEx>
          <w:tblCellMar>
            <w:top w:w="0" w:type="dxa"/>
            <w:left w:w="108" w:type="dxa"/>
            <w:bottom w:w="0" w:type="dxa"/>
            <w:right w:w="108" w:type="dxa"/>
          </w:tblCellMar>
        </w:tblPrEx>
        <w:trPr>
          <w:trHeight w:val="706" w:hRule="atLeast"/>
          <w:jc w:val="center"/>
        </w:trPr>
        <w:tc>
          <w:tcPr>
            <w:tcW w:w="348" w:type="pct"/>
            <w:tcBorders>
              <w:top w:val="nil"/>
              <w:left w:val="single" w:color="auto" w:sz="4" w:space="0"/>
              <w:bottom w:val="single" w:color="auto" w:sz="4" w:space="0"/>
              <w:right w:val="single" w:color="auto" w:sz="4" w:space="0"/>
            </w:tcBorders>
            <w:shd w:val="clear" w:color="auto" w:fill="auto"/>
            <w:vAlign w:val="center"/>
          </w:tcPr>
          <w:p>
            <w:pPr>
              <w:widowControl/>
              <w:shd w:val="clear"/>
              <w:jc w:val="center"/>
              <w:rPr>
                <w:rFonts w:hint="eastAsia" w:ascii="仿宋" w:hAnsi="仿宋" w:eastAsia="仿宋" w:cs="仿宋"/>
                <w:color w:val="auto"/>
                <w:kern w:val="0"/>
                <w:szCs w:val="21"/>
                <w:highlight w:val="none"/>
              </w:rPr>
            </w:pPr>
          </w:p>
        </w:tc>
        <w:tc>
          <w:tcPr>
            <w:tcW w:w="521" w:type="pct"/>
            <w:tcBorders>
              <w:top w:val="nil"/>
              <w:left w:val="nil"/>
              <w:bottom w:val="single" w:color="auto" w:sz="4" w:space="0"/>
              <w:right w:val="nil"/>
            </w:tcBorders>
            <w:shd w:val="clear" w:color="auto" w:fill="auto"/>
            <w:vAlign w:val="center"/>
          </w:tcPr>
          <w:p>
            <w:pPr>
              <w:widowControl/>
              <w:shd w:val="clear"/>
              <w:jc w:val="center"/>
              <w:rPr>
                <w:rFonts w:hint="eastAsia" w:ascii="仿宋" w:hAnsi="仿宋" w:eastAsia="仿宋" w:cs="仿宋"/>
                <w:color w:val="auto"/>
                <w:kern w:val="0"/>
                <w:szCs w:val="21"/>
                <w:highlight w:val="none"/>
              </w:rPr>
            </w:pPr>
          </w:p>
        </w:tc>
        <w:tc>
          <w:tcPr>
            <w:tcW w:w="1278" w:type="pct"/>
            <w:tcBorders>
              <w:top w:val="nil"/>
              <w:left w:val="single" w:color="auto" w:sz="4" w:space="0"/>
              <w:bottom w:val="single" w:color="auto" w:sz="4" w:space="0"/>
              <w:right w:val="single" w:color="auto" w:sz="4" w:space="0"/>
            </w:tcBorders>
            <w:shd w:val="clear" w:color="auto" w:fill="auto"/>
            <w:noWrap/>
            <w:vAlign w:val="center"/>
          </w:tcPr>
          <w:p>
            <w:pPr>
              <w:widowControl/>
              <w:shd w:val="clear"/>
              <w:jc w:val="center"/>
              <w:rPr>
                <w:rFonts w:hint="eastAsia" w:ascii="仿宋" w:hAnsi="仿宋" w:eastAsia="仿宋" w:cs="仿宋"/>
                <w:color w:val="auto"/>
                <w:kern w:val="0"/>
                <w:szCs w:val="21"/>
                <w:highlight w:val="none"/>
              </w:rPr>
            </w:pPr>
          </w:p>
        </w:tc>
        <w:tc>
          <w:tcPr>
            <w:tcW w:w="530"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c>
          <w:tcPr>
            <w:tcW w:w="1462"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c>
          <w:tcPr>
            <w:tcW w:w="861" w:type="pct"/>
            <w:tcBorders>
              <w:top w:val="nil"/>
              <w:left w:val="nil"/>
              <w:bottom w:val="single" w:color="auto" w:sz="4" w:space="0"/>
              <w:right w:val="single" w:color="auto" w:sz="4" w:space="0"/>
            </w:tcBorders>
            <w:shd w:val="clear" w:color="auto" w:fill="auto"/>
            <w:vAlign w:val="center"/>
          </w:tcPr>
          <w:p>
            <w:pPr>
              <w:widowControl/>
              <w:shd w:val="clear"/>
              <w:jc w:val="left"/>
              <w:rPr>
                <w:rFonts w:hint="eastAsia" w:ascii="仿宋" w:hAnsi="仿宋" w:eastAsia="仿宋" w:cs="仿宋"/>
                <w:color w:val="auto"/>
                <w:kern w:val="0"/>
                <w:szCs w:val="21"/>
                <w:highlight w:val="none"/>
              </w:rPr>
            </w:pPr>
          </w:p>
        </w:tc>
      </w:tr>
    </w:tbl>
    <w:p>
      <w:pPr>
        <w:shd w:val="clear"/>
        <w:tabs>
          <w:tab w:val="left" w:pos="720"/>
        </w:tabs>
        <w:spacing w:line="300" w:lineRule="auto"/>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人员简历</w:t>
      </w:r>
    </w:p>
    <w:tbl>
      <w:tblPr>
        <w:tblStyle w:val="13"/>
        <w:tblW w:w="8588"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2693"/>
        <w:gridCol w:w="1046"/>
        <w:gridCol w:w="513"/>
        <w:gridCol w:w="900"/>
        <w:gridCol w:w="1735"/>
      </w:tblGrid>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482" w:hRule="atLeast"/>
          <w:jc w:val="center"/>
        </w:trPr>
        <w:tc>
          <w:tcPr>
            <w:tcW w:w="1701" w:type="dxa"/>
            <w:tcBorders>
              <w:top w:val="single" w:color="auto" w:sz="12" w:space="0"/>
              <w:bottom w:val="single" w:color="000000" w:sz="6" w:space="0"/>
            </w:tcBorders>
            <w:shd w:val="pct10" w:color="auto" w:fill="auto"/>
            <w:vAlign w:val="center"/>
          </w:tcPr>
          <w:p>
            <w:pPr>
              <w:shd w:val="clear"/>
              <w:snapToGrid w:val="0"/>
              <w:spacing w:line="288"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  名</w:t>
            </w:r>
          </w:p>
        </w:tc>
        <w:tc>
          <w:tcPr>
            <w:tcW w:w="2693" w:type="dxa"/>
            <w:shd w:val="clear" w:color="auto" w:fill="auto"/>
            <w:vAlign w:val="center"/>
          </w:tcPr>
          <w:p>
            <w:pPr>
              <w:shd w:val="clear"/>
              <w:snapToGrid w:val="0"/>
              <w:spacing w:line="288" w:lineRule="auto"/>
              <w:jc w:val="left"/>
              <w:rPr>
                <w:rFonts w:hint="eastAsia" w:ascii="仿宋" w:hAnsi="仿宋" w:eastAsia="仿宋" w:cs="仿宋"/>
                <w:color w:val="auto"/>
                <w:sz w:val="28"/>
                <w:szCs w:val="28"/>
                <w:highlight w:val="none"/>
              </w:rPr>
            </w:pPr>
          </w:p>
        </w:tc>
        <w:tc>
          <w:tcPr>
            <w:tcW w:w="1559" w:type="dxa"/>
            <w:gridSpan w:val="2"/>
            <w:tcBorders>
              <w:top w:val="single" w:color="auto" w:sz="12" w:space="0"/>
              <w:bottom w:val="single" w:color="000000" w:sz="6" w:space="0"/>
            </w:tcBorders>
            <w:shd w:val="pct10" w:color="auto" w:fill="auto"/>
            <w:vAlign w:val="center"/>
          </w:tcPr>
          <w:p>
            <w:pPr>
              <w:shd w:val="clear"/>
              <w:snapToGrid w:val="0"/>
              <w:spacing w:line="288"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年  龄</w:t>
            </w:r>
          </w:p>
        </w:tc>
        <w:tc>
          <w:tcPr>
            <w:tcW w:w="2635" w:type="dxa"/>
            <w:gridSpan w:val="2"/>
          </w:tcPr>
          <w:p>
            <w:pPr>
              <w:shd w:val="clear"/>
              <w:snapToGrid w:val="0"/>
              <w:spacing w:line="288" w:lineRule="auto"/>
              <w:rPr>
                <w:rFonts w:hint="eastAsia" w:ascii="仿宋" w:hAnsi="仿宋" w:eastAsia="仿宋" w:cs="仿宋"/>
                <w:caps/>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1701" w:type="dxa"/>
            <w:tcBorders>
              <w:top w:val="single" w:color="000000" w:sz="6" w:space="0"/>
              <w:bottom w:val="single" w:color="000000" w:sz="6" w:space="0"/>
            </w:tcBorders>
            <w:shd w:val="pct10" w:color="auto" w:fill="auto"/>
            <w:vAlign w:val="center"/>
          </w:tcPr>
          <w:p>
            <w:pPr>
              <w:shd w:val="clear"/>
              <w:snapToGrid w:val="0"/>
              <w:spacing w:line="288"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毕业学校</w:t>
            </w:r>
          </w:p>
        </w:tc>
        <w:tc>
          <w:tcPr>
            <w:tcW w:w="2693" w:type="dxa"/>
            <w:shd w:val="clear" w:color="auto" w:fill="auto"/>
            <w:vAlign w:val="center"/>
          </w:tcPr>
          <w:p>
            <w:pPr>
              <w:shd w:val="clear"/>
              <w:snapToGrid w:val="0"/>
              <w:spacing w:line="288" w:lineRule="auto"/>
              <w:jc w:val="left"/>
              <w:rPr>
                <w:rFonts w:hint="eastAsia" w:ascii="仿宋" w:hAnsi="仿宋" w:eastAsia="仿宋" w:cs="仿宋"/>
                <w:color w:val="auto"/>
                <w:sz w:val="28"/>
                <w:szCs w:val="28"/>
                <w:highlight w:val="none"/>
              </w:rPr>
            </w:pPr>
          </w:p>
        </w:tc>
        <w:tc>
          <w:tcPr>
            <w:tcW w:w="1559" w:type="dxa"/>
            <w:gridSpan w:val="2"/>
            <w:tcBorders>
              <w:top w:val="single" w:color="000000" w:sz="6" w:space="0"/>
              <w:bottom w:val="single" w:color="000000" w:sz="6" w:space="0"/>
            </w:tcBorders>
            <w:shd w:val="pct10" w:color="auto" w:fill="auto"/>
            <w:vAlign w:val="center"/>
          </w:tcPr>
          <w:p>
            <w:pPr>
              <w:shd w:val="clear"/>
              <w:snapToGrid w:val="0"/>
              <w:spacing w:line="288"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学  历</w:t>
            </w:r>
          </w:p>
        </w:tc>
        <w:tc>
          <w:tcPr>
            <w:tcW w:w="2635" w:type="dxa"/>
            <w:gridSpan w:val="2"/>
          </w:tcPr>
          <w:p>
            <w:pPr>
              <w:shd w:val="clear"/>
              <w:snapToGrid w:val="0"/>
              <w:spacing w:line="288" w:lineRule="auto"/>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tcBorders>
              <w:top w:val="single" w:color="000000" w:sz="6" w:space="0"/>
              <w:bottom w:val="single" w:color="000000" w:sz="6" w:space="0"/>
            </w:tcBorders>
            <w:shd w:val="pct10" w:color="auto" w:fill="auto"/>
            <w:vAlign w:val="center"/>
          </w:tcPr>
          <w:p>
            <w:pPr>
              <w:shd w:val="clear"/>
              <w:snapToGrid w:val="0"/>
              <w:spacing w:line="288"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  业</w:t>
            </w:r>
          </w:p>
        </w:tc>
        <w:tc>
          <w:tcPr>
            <w:tcW w:w="2693" w:type="dxa"/>
            <w:shd w:val="clear" w:color="auto" w:fill="auto"/>
            <w:vAlign w:val="center"/>
          </w:tcPr>
          <w:p>
            <w:pPr>
              <w:shd w:val="clear"/>
              <w:snapToGrid w:val="0"/>
              <w:spacing w:line="288" w:lineRule="auto"/>
              <w:jc w:val="left"/>
              <w:rPr>
                <w:rFonts w:hint="eastAsia" w:ascii="仿宋" w:hAnsi="仿宋" w:eastAsia="仿宋" w:cs="仿宋"/>
                <w:color w:val="auto"/>
                <w:sz w:val="28"/>
                <w:szCs w:val="28"/>
                <w:highlight w:val="none"/>
              </w:rPr>
            </w:pPr>
          </w:p>
        </w:tc>
        <w:tc>
          <w:tcPr>
            <w:tcW w:w="1559" w:type="dxa"/>
            <w:gridSpan w:val="2"/>
            <w:tcBorders>
              <w:top w:val="single" w:color="000000" w:sz="6" w:space="0"/>
              <w:bottom w:val="single" w:color="000000" w:sz="6" w:space="0"/>
            </w:tcBorders>
            <w:shd w:val="pct10" w:color="auto" w:fill="auto"/>
            <w:vAlign w:val="center"/>
          </w:tcPr>
          <w:p>
            <w:pPr>
              <w:shd w:val="clear"/>
              <w:snapToGrid w:val="0"/>
              <w:spacing w:line="288"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工作年限</w:t>
            </w:r>
          </w:p>
        </w:tc>
        <w:tc>
          <w:tcPr>
            <w:tcW w:w="2635" w:type="dxa"/>
            <w:gridSpan w:val="2"/>
          </w:tcPr>
          <w:p>
            <w:pPr>
              <w:shd w:val="clear"/>
              <w:snapToGrid w:val="0"/>
              <w:spacing w:line="288" w:lineRule="auto"/>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bottom w:val="single" w:color="000000" w:sz="6" w:space="0"/>
            </w:tcBorders>
            <w:shd w:val="pct10" w:color="auto" w:fill="auto"/>
            <w:vAlign w:val="center"/>
          </w:tcPr>
          <w:p>
            <w:pPr>
              <w:shd w:val="clear"/>
              <w:snapToGrid w:val="0"/>
              <w:spacing w:line="288"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现所在部门</w:t>
            </w:r>
          </w:p>
        </w:tc>
        <w:tc>
          <w:tcPr>
            <w:tcW w:w="2693" w:type="dxa"/>
            <w:shd w:val="clear" w:color="auto" w:fill="auto"/>
            <w:vAlign w:val="center"/>
          </w:tcPr>
          <w:p>
            <w:pPr>
              <w:shd w:val="clear"/>
              <w:snapToGrid w:val="0"/>
              <w:spacing w:line="288" w:lineRule="auto"/>
              <w:rPr>
                <w:rFonts w:hint="eastAsia" w:ascii="仿宋" w:hAnsi="仿宋" w:eastAsia="仿宋" w:cs="仿宋"/>
                <w:color w:val="auto"/>
                <w:sz w:val="28"/>
                <w:szCs w:val="28"/>
                <w:highlight w:val="none"/>
              </w:rPr>
            </w:pPr>
          </w:p>
        </w:tc>
        <w:tc>
          <w:tcPr>
            <w:tcW w:w="1559" w:type="dxa"/>
            <w:gridSpan w:val="2"/>
            <w:tcBorders>
              <w:top w:val="single" w:color="000000" w:sz="6" w:space="0"/>
              <w:bottom w:val="single" w:color="000000" w:sz="6" w:space="0"/>
            </w:tcBorders>
            <w:shd w:val="pct10" w:color="auto" w:fill="auto"/>
            <w:vAlign w:val="center"/>
          </w:tcPr>
          <w:p>
            <w:pPr>
              <w:shd w:val="clear"/>
              <w:snapToGrid w:val="0"/>
              <w:spacing w:line="288"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职务/职称</w:t>
            </w:r>
          </w:p>
        </w:tc>
        <w:tc>
          <w:tcPr>
            <w:tcW w:w="2635" w:type="dxa"/>
            <w:gridSpan w:val="2"/>
            <w:vAlign w:val="center"/>
          </w:tcPr>
          <w:p>
            <w:pPr>
              <w:shd w:val="clear"/>
              <w:snapToGrid w:val="0"/>
              <w:spacing w:line="288" w:lineRule="auto"/>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bottom w:val="single" w:color="000000" w:sz="6" w:space="0"/>
            </w:tcBorders>
            <w:shd w:val="pct10" w:color="auto" w:fill="auto"/>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项目角色</w:t>
            </w:r>
          </w:p>
        </w:tc>
        <w:tc>
          <w:tcPr>
            <w:tcW w:w="6887" w:type="dxa"/>
            <w:gridSpan w:val="5"/>
          </w:tcPr>
          <w:p>
            <w:pPr>
              <w:shd w:val="clear"/>
              <w:snapToGrid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项目负责人/项目顾问/项目经理/需求分析/系统分析/软件开发(工程师)/测试/QA等（说明：如果一人兼任多个角色，重要角色排先）</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bottom w:val="single" w:color="000000" w:sz="6" w:space="0"/>
            </w:tcBorders>
            <w:shd w:val="pct10" w:color="auto" w:fill="auto"/>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专业资质&amp;认证</w:t>
            </w:r>
          </w:p>
        </w:tc>
        <w:tc>
          <w:tcPr>
            <w:tcW w:w="6887" w:type="dxa"/>
            <w:gridSpan w:val="5"/>
          </w:tcPr>
          <w:p>
            <w:pPr>
              <w:shd w:val="clear"/>
              <w:spacing w:line="360" w:lineRule="auto"/>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tcBorders>
              <w:top w:val="single" w:color="000000" w:sz="6" w:space="0"/>
              <w:bottom w:val="single" w:color="000000" w:sz="6" w:space="0"/>
            </w:tcBorders>
            <w:shd w:val="pct10" w:color="auto" w:fill="auto"/>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专业技能简介</w:t>
            </w:r>
          </w:p>
        </w:tc>
        <w:tc>
          <w:tcPr>
            <w:tcW w:w="6887" w:type="dxa"/>
            <w:gridSpan w:val="5"/>
          </w:tcPr>
          <w:p>
            <w:pPr>
              <w:shd w:val="clea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达到熟练或精通程度的相关技术专业技能，如：</w:t>
            </w:r>
          </w:p>
          <w:p>
            <w:pPr>
              <w:numPr>
                <w:ilvl w:val="0"/>
                <w:numId w:val="4"/>
              </w:numPr>
              <w:shd w:val="clea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软件开发语言/平台（框架）/工具</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458" w:hRule="atLeast"/>
          <w:jc w:val="center"/>
        </w:trPr>
        <w:tc>
          <w:tcPr>
            <w:tcW w:w="1701" w:type="dxa"/>
            <w:tcBorders>
              <w:top w:val="single" w:color="000000" w:sz="6" w:space="0"/>
              <w:bottom w:val="single" w:color="000000" w:sz="6" w:space="0"/>
            </w:tcBorders>
            <w:shd w:val="pct10" w:color="auto" w:fill="auto"/>
            <w:vAlign w:val="center"/>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工作经历(最近5年)</w:t>
            </w:r>
          </w:p>
        </w:tc>
        <w:tc>
          <w:tcPr>
            <w:tcW w:w="6887" w:type="dxa"/>
            <w:gridSpan w:val="5"/>
            <w:tcBorders>
              <w:bottom w:val="single" w:color="000000" w:sz="6" w:space="0"/>
            </w:tcBorders>
          </w:tcPr>
          <w:p>
            <w:pPr>
              <w:shd w:val="clear"/>
              <w:snapToGrid w:val="0"/>
              <w:spacing w:line="312"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范例：</w:t>
            </w:r>
          </w:p>
          <w:p>
            <w:pPr>
              <w:numPr>
                <w:ilvl w:val="0"/>
                <w:numId w:val="5"/>
              </w:numPr>
              <w:shd w:val="clear"/>
              <w:snapToGrid w:val="0"/>
              <w:spacing w:line="312" w:lineRule="auto"/>
              <w:ind w:left="357" w:hanging="3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2008.7~今, xxxxx公司，xxx职务/岗位 (时间倒序)</w:t>
            </w:r>
          </w:p>
          <w:p>
            <w:pPr>
              <w:numPr>
                <w:ilvl w:val="0"/>
                <w:numId w:val="5"/>
              </w:numPr>
              <w:shd w:val="clear"/>
              <w:snapToGrid w:val="0"/>
              <w:spacing w:line="312" w:lineRule="auto"/>
              <w:ind w:left="357" w:hanging="357"/>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2003.11～2008.7, </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tcBorders>
              <w:top w:val="single" w:color="000000" w:sz="6" w:space="0"/>
              <w:bottom w:val="single" w:color="000000" w:sz="6" w:space="0"/>
            </w:tcBorders>
            <w:shd w:val="pct10" w:color="auto" w:fill="auto"/>
            <w:vAlign w:val="center"/>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参加起/止日期</w:t>
            </w:r>
          </w:p>
        </w:tc>
        <w:tc>
          <w:tcPr>
            <w:tcW w:w="3739" w:type="dxa"/>
            <w:gridSpan w:val="2"/>
            <w:tcBorders>
              <w:top w:val="single" w:color="000000" w:sz="6" w:space="0"/>
              <w:bottom w:val="single" w:color="000000" w:sz="6" w:space="0"/>
            </w:tcBorders>
            <w:shd w:val="pct10" w:color="auto" w:fill="auto"/>
            <w:vAlign w:val="center"/>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近3年参加的类似项目名称</w:t>
            </w:r>
          </w:p>
        </w:tc>
        <w:tc>
          <w:tcPr>
            <w:tcW w:w="1413" w:type="dxa"/>
            <w:gridSpan w:val="2"/>
            <w:tcBorders>
              <w:top w:val="single" w:color="000000" w:sz="6" w:space="0"/>
              <w:bottom w:val="single" w:color="000000" w:sz="6" w:space="0"/>
            </w:tcBorders>
            <w:shd w:val="pct10" w:color="auto" w:fill="auto"/>
            <w:vAlign w:val="center"/>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项目角色</w:t>
            </w:r>
          </w:p>
        </w:tc>
        <w:tc>
          <w:tcPr>
            <w:tcW w:w="1735" w:type="dxa"/>
            <w:tcBorders>
              <w:top w:val="single" w:color="000000" w:sz="6" w:space="0"/>
              <w:bottom w:val="single" w:color="000000" w:sz="6" w:space="0"/>
            </w:tcBorders>
            <w:shd w:val="pct10" w:color="auto" w:fill="auto"/>
            <w:vAlign w:val="center"/>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范例：2009.5 ～2010.9</w:t>
            </w:r>
          </w:p>
        </w:tc>
        <w:tc>
          <w:tcPr>
            <w:tcW w:w="3739" w:type="dxa"/>
            <w:gridSpan w:val="2"/>
            <w:vAlign w:val="center"/>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Xxxx客户x软件能力成熟度三级(CMMI-L3)咨询评估项目名称</w:t>
            </w:r>
          </w:p>
        </w:tc>
        <w:tc>
          <w:tcPr>
            <w:tcW w:w="1413" w:type="dxa"/>
            <w:gridSpan w:val="2"/>
            <w:vAlign w:val="center"/>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咨询顾问</w:t>
            </w:r>
          </w:p>
        </w:tc>
        <w:tc>
          <w:tcPr>
            <w:tcW w:w="1735" w:type="dxa"/>
            <w:vAlign w:val="center"/>
          </w:tcPr>
          <w:p>
            <w:pPr>
              <w:shd w:val="clear"/>
              <w:snapToGrid w:val="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如项目过多，列出最近的5个项目即可。</w:t>
            </w: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tcPr>
          <w:p>
            <w:pPr>
              <w:shd w:val="clear"/>
              <w:snapToGrid w:val="0"/>
              <w:rPr>
                <w:rFonts w:hint="eastAsia" w:ascii="仿宋" w:hAnsi="仿宋" w:eastAsia="仿宋" w:cs="仿宋"/>
                <w:color w:val="auto"/>
                <w:sz w:val="28"/>
                <w:szCs w:val="28"/>
                <w:highlight w:val="none"/>
              </w:rPr>
            </w:pPr>
          </w:p>
        </w:tc>
        <w:tc>
          <w:tcPr>
            <w:tcW w:w="3739" w:type="dxa"/>
            <w:gridSpan w:val="2"/>
          </w:tcPr>
          <w:p>
            <w:pPr>
              <w:shd w:val="clear"/>
              <w:snapToGrid w:val="0"/>
              <w:rPr>
                <w:rFonts w:hint="eastAsia" w:ascii="仿宋" w:hAnsi="仿宋" w:eastAsia="仿宋" w:cs="仿宋"/>
                <w:color w:val="auto"/>
                <w:sz w:val="28"/>
                <w:szCs w:val="28"/>
                <w:highlight w:val="none"/>
              </w:rPr>
            </w:pPr>
          </w:p>
        </w:tc>
        <w:tc>
          <w:tcPr>
            <w:tcW w:w="1413" w:type="dxa"/>
            <w:gridSpan w:val="2"/>
          </w:tcPr>
          <w:p>
            <w:pPr>
              <w:shd w:val="clear"/>
              <w:snapToGrid w:val="0"/>
              <w:rPr>
                <w:rFonts w:hint="eastAsia" w:ascii="仿宋" w:hAnsi="仿宋" w:eastAsia="仿宋" w:cs="仿宋"/>
                <w:color w:val="auto"/>
                <w:sz w:val="28"/>
                <w:szCs w:val="28"/>
                <w:highlight w:val="none"/>
              </w:rPr>
            </w:pPr>
          </w:p>
        </w:tc>
        <w:tc>
          <w:tcPr>
            <w:tcW w:w="1735" w:type="dxa"/>
          </w:tcPr>
          <w:p>
            <w:pPr>
              <w:shd w:val="clear"/>
              <w:snapToGrid w:val="0"/>
              <w:rPr>
                <w:rFonts w:hint="eastAsia" w:ascii="仿宋" w:hAnsi="仿宋" w:eastAsia="仿宋" w:cs="仿宋"/>
                <w:color w:val="auto"/>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tcPr>
          <w:p>
            <w:pPr>
              <w:shd w:val="clear"/>
              <w:snapToGrid w:val="0"/>
              <w:rPr>
                <w:rFonts w:hint="eastAsia" w:ascii="仿宋" w:hAnsi="仿宋" w:eastAsia="仿宋" w:cs="仿宋"/>
                <w:color w:val="auto"/>
                <w:sz w:val="28"/>
                <w:szCs w:val="28"/>
                <w:highlight w:val="none"/>
              </w:rPr>
            </w:pPr>
          </w:p>
        </w:tc>
        <w:tc>
          <w:tcPr>
            <w:tcW w:w="3739" w:type="dxa"/>
            <w:gridSpan w:val="2"/>
          </w:tcPr>
          <w:p>
            <w:pPr>
              <w:shd w:val="clear"/>
              <w:snapToGrid w:val="0"/>
              <w:rPr>
                <w:rFonts w:hint="eastAsia" w:ascii="仿宋" w:hAnsi="仿宋" w:eastAsia="仿宋" w:cs="仿宋"/>
                <w:color w:val="auto"/>
                <w:sz w:val="28"/>
                <w:szCs w:val="28"/>
                <w:highlight w:val="none"/>
              </w:rPr>
            </w:pPr>
          </w:p>
        </w:tc>
        <w:tc>
          <w:tcPr>
            <w:tcW w:w="1413" w:type="dxa"/>
            <w:gridSpan w:val="2"/>
          </w:tcPr>
          <w:p>
            <w:pPr>
              <w:shd w:val="clear"/>
              <w:snapToGrid w:val="0"/>
              <w:rPr>
                <w:rFonts w:hint="eastAsia" w:ascii="仿宋" w:hAnsi="仿宋" w:eastAsia="仿宋" w:cs="仿宋"/>
                <w:color w:val="auto"/>
                <w:sz w:val="28"/>
                <w:szCs w:val="28"/>
                <w:highlight w:val="none"/>
              </w:rPr>
            </w:pPr>
          </w:p>
        </w:tc>
        <w:tc>
          <w:tcPr>
            <w:tcW w:w="1735" w:type="dxa"/>
          </w:tcPr>
          <w:p>
            <w:pPr>
              <w:shd w:val="clear"/>
              <w:snapToGrid w:val="0"/>
              <w:rPr>
                <w:rFonts w:hint="eastAsia" w:ascii="仿宋" w:hAnsi="仿宋" w:eastAsia="仿宋" w:cs="仿宋"/>
                <w:color w:val="auto"/>
                <w:sz w:val="28"/>
                <w:szCs w:val="28"/>
                <w:highlight w:val="none"/>
              </w:rPr>
            </w:pPr>
          </w:p>
        </w:tc>
      </w:tr>
    </w:tbl>
    <w:p>
      <w:pPr>
        <w:shd w:val="clear"/>
        <w:tabs>
          <w:tab w:val="left" w:pos="39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 标 人（法人公章）：</w:t>
      </w:r>
    </w:p>
    <w:p>
      <w:pPr>
        <w:shd w:val="clear"/>
        <w:tabs>
          <w:tab w:val="left" w:pos="39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法定代表人（或授权代表人）：</w:t>
      </w:r>
    </w:p>
    <w:p>
      <w:pPr>
        <w:shd w:val="clear"/>
        <w:tabs>
          <w:tab w:val="left" w:pos="3960"/>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p>
    <w:p>
      <w:pPr>
        <w:shd w:val="clear"/>
        <w:tabs>
          <w:tab w:val="left" w:pos="3960"/>
        </w:tabs>
        <w:rPr>
          <w:rFonts w:hint="eastAsia" w:ascii="仿宋" w:hAnsi="仿宋" w:eastAsia="仿宋" w:cs="仿宋"/>
          <w:color w:val="auto"/>
          <w:sz w:val="28"/>
          <w:szCs w:val="28"/>
          <w:highlight w:val="none"/>
        </w:rPr>
      </w:pPr>
    </w:p>
    <w:p>
      <w:pPr>
        <w:pStyle w:val="3"/>
        <w:keepNext w:val="0"/>
        <w:keepLines w:val="0"/>
        <w:shd w:val="clear"/>
        <w:spacing w:before="0" w:after="0" w:line="560" w:lineRule="exact"/>
        <w:ind w:firstLine="562" w:firstLineChars="200"/>
        <w:rPr>
          <w:rFonts w:hint="eastAsia" w:ascii="Arial" w:hAnsi="Arial" w:eastAsia="仿宋" w:cs="Arial"/>
          <w:snapToGrid w:val="0"/>
          <w:color w:val="auto"/>
          <w:kern w:val="0"/>
          <w:sz w:val="28"/>
          <w:szCs w:val="28"/>
          <w:highlight w:val="none"/>
        </w:rPr>
      </w:pPr>
      <w:r>
        <w:rPr>
          <w:rFonts w:hint="eastAsia" w:ascii="Arial" w:hAnsi="Arial" w:eastAsia="仿宋" w:cs="Arial"/>
          <w:snapToGrid w:val="0"/>
          <w:color w:val="auto"/>
          <w:kern w:val="0"/>
          <w:sz w:val="28"/>
          <w:szCs w:val="28"/>
          <w:highlight w:val="none"/>
          <w:lang w:eastAsia="zh-CN"/>
        </w:rPr>
        <w:t>五</w:t>
      </w:r>
      <w:r>
        <w:rPr>
          <w:rFonts w:hint="eastAsia" w:ascii="Arial" w:hAnsi="Arial" w:eastAsia="仿宋" w:cs="Arial"/>
          <w:snapToGrid w:val="0"/>
          <w:color w:val="auto"/>
          <w:kern w:val="0"/>
          <w:sz w:val="28"/>
          <w:szCs w:val="28"/>
          <w:highlight w:val="none"/>
        </w:rPr>
        <w:t>、服务期限</w:t>
      </w:r>
    </w:p>
    <w:p>
      <w:pPr>
        <w:numPr>
          <w:ilvl w:val="0"/>
          <w:numId w:val="6"/>
        </w:numPr>
        <w:shd w:val="clear"/>
        <w:overflowPunct w:val="0"/>
        <w:snapToGrid w:val="0"/>
        <w:spacing w:before="120" w:line="360" w:lineRule="auto"/>
        <w:ind w:left="851"/>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投标人要建立实施该项目的组织架构，并提供参与该项目的人员清单和工作经历。投标人承诺在项目实施过程中保持整个咨询和评估项目组人员的稳定，未经本公司允许，不得随意更换项目经理、咨询师、主任评估师等核心成员，否则视为违约，须承担相关的违约责任。</w:t>
      </w:r>
    </w:p>
    <w:p>
      <w:pPr>
        <w:numPr>
          <w:ilvl w:val="0"/>
          <w:numId w:val="6"/>
        </w:numPr>
        <w:shd w:val="clear"/>
        <w:overflowPunct w:val="0"/>
        <w:snapToGrid w:val="0"/>
        <w:spacing w:before="120" w:line="360" w:lineRule="auto"/>
        <w:ind w:left="851"/>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为控制评估风险，投标人需同意通过签订合同保证咨询师在合同有效期内的服务，包括按照本公司要求进行现场服务签到等，如违约则同意对我公司予以赔偿。</w:t>
      </w:r>
    </w:p>
    <w:p>
      <w:pPr>
        <w:numPr>
          <w:ilvl w:val="0"/>
          <w:numId w:val="6"/>
        </w:numPr>
        <w:shd w:val="clear"/>
        <w:overflowPunct w:val="0"/>
        <w:snapToGrid w:val="0"/>
        <w:spacing w:before="120" w:line="360" w:lineRule="auto"/>
        <w:ind w:left="851"/>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投标人应提供现场服务和非现场服务两种方式。其中，现场服务方式为投标人派遣相关人员向本公司提供面对面的现场服务；非现场服务方式为投标人根据具体情况进行远程服务。</w:t>
      </w:r>
    </w:p>
    <w:p>
      <w:pPr>
        <w:numPr>
          <w:ilvl w:val="0"/>
          <w:numId w:val="6"/>
        </w:numPr>
        <w:shd w:val="clear"/>
        <w:overflowPunct w:val="0"/>
        <w:snapToGrid w:val="0"/>
        <w:spacing w:before="120" w:line="360" w:lineRule="auto"/>
        <w:ind w:left="851"/>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投标人对服务请求应在24小时内提供最佳解决方案。</w:t>
      </w:r>
    </w:p>
    <w:p>
      <w:pPr>
        <w:numPr>
          <w:ilvl w:val="0"/>
          <w:numId w:val="6"/>
        </w:numPr>
        <w:shd w:val="clear"/>
        <w:overflowPunct w:val="0"/>
        <w:snapToGrid w:val="0"/>
        <w:spacing w:before="120" w:line="360" w:lineRule="auto"/>
        <w:ind w:left="851"/>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投标人在完成合同所规定的服务后，将提供三年的售后服务期。售后服务期内，投标人免费为本公司提供售后服务和技术支持。服务方式为不限次的电话，电子邮件等。售后服务和技术支持范围包括但不限于：</w:t>
      </w:r>
    </w:p>
    <w:p>
      <w:pPr>
        <w:numPr>
          <w:ilvl w:val="0"/>
          <w:numId w:val="7"/>
        </w:numPr>
        <w:shd w:val="clear"/>
        <w:overflowPunct w:val="0"/>
        <w:snapToGrid w:val="0"/>
        <w:spacing w:before="120" w:line="360" w:lineRule="auto"/>
        <w:ind w:left="420" w:leftChars="200" w:firstLine="400" w:firstLineChars="0"/>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在售后服务期内至少提供3次免费的定期现场回访和指导。</w:t>
      </w:r>
    </w:p>
    <w:p>
      <w:pPr>
        <w:numPr>
          <w:ilvl w:val="0"/>
          <w:numId w:val="7"/>
        </w:numPr>
        <w:shd w:val="clear"/>
        <w:overflowPunct w:val="0"/>
        <w:snapToGrid w:val="0"/>
        <w:spacing w:before="120" w:line="360" w:lineRule="auto"/>
        <w:ind w:left="420" w:leftChars="200" w:firstLine="400" w:firstLineChars="0"/>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免费解答本公司提出的问题；如出现紧急技术问题，在本公司提出服务请求后，投标人应在60分钟内予以响应，24小时内提出最佳解决方案，并跟进，直至解决。</w:t>
      </w:r>
    </w:p>
    <w:p>
      <w:pPr>
        <w:numPr>
          <w:ilvl w:val="0"/>
          <w:numId w:val="7"/>
        </w:numPr>
        <w:shd w:val="clear"/>
        <w:overflowPunct w:val="0"/>
        <w:snapToGrid w:val="0"/>
        <w:spacing w:before="120" w:line="360" w:lineRule="auto"/>
        <w:ind w:left="420" w:leftChars="200" w:firstLine="400" w:firstLineChars="0"/>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在投标人进行相关的公开课培训、技术交流等方面的活动时，如本公司有意愿参加时，优先安排参加，并在费用方面给予优惠。</w:t>
      </w:r>
    </w:p>
    <w:p>
      <w:pPr>
        <w:pStyle w:val="3"/>
        <w:keepNext w:val="0"/>
        <w:keepLines w:val="0"/>
        <w:shd w:val="clear"/>
        <w:spacing w:before="0" w:after="0" w:line="560" w:lineRule="exact"/>
        <w:ind w:firstLine="562" w:firstLineChars="200"/>
        <w:rPr>
          <w:rFonts w:hint="eastAsia" w:ascii="Arial" w:hAnsi="Arial" w:eastAsia="仿宋" w:cs="Arial"/>
          <w:snapToGrid w:val="0"/>
          <w:color w:val="auto"/>
          <w:kern w:val="0"/>
          <w:sz w:val="28"/>
          <w:szCs w:val="28"/>
          <w:highlight w:val="none"/>
        </w:rPr>
      </w:pPr>
      <w:r>
        <w:rPr>
          <w:rFonts w:hint="eastAsia" w:ascii="Arial" w:hAnsi="Arial" w:eastAsia="仿宋" w:cs="Arial"/>
          <w:snapToGrid w:val="0"/>
          <w:color w:val="auto"/>
          <w:kern w:val="0"/>
          <w:sz w:val="28"/>
          <w:szCs w:val="28"/>
          <w:highlight w:val="none"/>
          <w:lang w:eastAsia="zh-CN"/>
        </w:rPr>
        <w:t>六</w:t>
      </w:r>
      <w:r>
        <w:rPr>
          <w:rFonts w:hint="eastAsia" w:ascii="Arial" w:hAnsi="Arial" w:eastAsia="仿宋" w:cs="Arial"/>
          <w:snapToGrid w:val="0"/>
          <w:color w:val="auto"/>
          <w:kern w:val="0"/>
          <w:sz w:val="28"/>
          <w:szCs w:val="28"/>
          <w:highlight w:val="none"/>
        </w:rPr>
        <w:t>、保密要求</w:t>
      </w:r>
    </w:p>
    <w:p>
      <w:pPr>
        <w:shd w:val="clear"/>
        <w:overflowPunct w:val="0"/>
        <w:snapToGrid w:val="0"/>
        <w:spacing w:before="120" w:line="360" w:lineRule="auto"/>
        <w:ind w:firstLine="420"/>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1)</w:t>
      </w:r>
      <w:r>
        <w:rPr>
          <w:rFonts w:hint="eastAsia" w:ascii="仿宋" w:hAnsi="仿宋" w:eastAsia="仿宋" w:cs="仿宋"/>
          <w:snapToGrid w:val="0"/>
          <w:color w:val="auto"/>
          <w:kern w:val="0"/>
          <w:sz w:val="28"/>
          <w:szCs w:val="28"/>
          <w:highlight w:val="none"/>
          <w:lang w:val="zh-CN" w:eastAsia="zh-CN"/>
        </w:rPr>
        <w:tab/>
      </w:r>
      <w:r>
        <w:rPr>
          <w:rFonts w:hint="eastAsia" w:ascii="仿宋" w:hAnsi="仿宋" w:eastAsia="仿宋" w:cs="仿宋"/>
          <w:snapToGrid w:val="0"/>
          <w:color w:val="auto"/>
          <w:kern w:val="0"/>
          <w:sz w:val="28"/>
          <w:szCs w:val="28"/>
          <w:highlight w:val="none"/>
          <w:lang w:val="zh-CN" w:eastAsia="zh-CN"/>
        </w:rPr>
        <w:t>供应商在技术交流、订立协议或合同过程中知悉的我行的商业秘密或保密信息，无论协议或合同是否成立，均不得向任何第三方泄露或者不正当使用。泄露、披露或者不正当使用该商业秘密或保密信息给对方造成损失的，应承担损害赔偿责任。违反国家保密法的要承担法律责任。</w:t>
      </w:r>
    </w:p>
    <w:p>
      <w:pPr>
        <w:shd w:val="clear"/>
        <w:overflowPunct w:val="0"/>
        <w:snapToGrid w:val="0"/>
        <w:spacing w:before="120" w:line="360" w:lineRule="auto"/>
        <w:ind w:firstLine="420"/>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2)</w:t>
      </w:r>
      <w:r>
        <w:rPr>
          <w:rFonts w:hint="eastAsia" w:ascii="仿宋" w:hAnsi="仿宋" w:eastAsia="仿宋" w:cs="仿宋"/>
          <w:snapToGrid w:val="0"/>
          <w:color w:val="auto"/>
          <w:kern w:val="0"/>
          <w:sz w:val="28"/>
          <w:szCs w:val="28"/>
          <w:highlight w:val="none"/>
          <w:lang w:val="zh-CN" w:eastAsia="zh-CN"/>
        </w:rPr>
        <w:tab/>
      </w:r>
      <w:r>
        <w:rPr>
          <w:rFonts w:hint="eastAsia" w:ascii="仿宋" w:hAnsi="仿宋" w:eastAsia="仿宋" w:cs="仿宋"/>
          <w:snapToGrid w:val="0"/>
          <w:color w:val="auto"/>
          <w:kern w:val="0"/>
          <w:sz w:val="28"/>
          <w:szCs w:val="28"/>
          <w:highlight w:val="none"/>
          <w:lang w:val="zh-CN" w:eastAsia="zh-CN"/>
        </w:rPr>
        <w:t>供应商在本项目中知悉或获取的我行的商业资料和信息仅限于本项目的招投标，不得用于其它用途，否则我行保留起诉和要求赔偿的权利。</w:t>
      </w:r>
    </w:p>
    <w:p>
      <w:pPr>
        <w:shd w:val="clear"/>
        <w:overflowPunct w:val="0"/>
        <w:snapToGrid w:val="0"/>
        <w:spacing w:before="120" w:line="360" w:lineRule="auto"/>
        <w:ind w:firstLine="420"/>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3)</w:t>
      </w:r>
      <w:r>
        <w:rPr>
          <w:rFonts w:hint="eastAsia" w:ascii="仿宋" w:hAnsi="仿宋" w:eastAsia="仿宋" w:cs="仿宋"/>
          <w:snapToGrid w:val="0"/>
          <w:color w:val="auto"/>
          <w:kern w:val="0"/>
          <w:sz w:val="28"/>
          <w:szCs w:val="28"/>
          <w:highlight w:val="none"/>
          <w:lang w:val="zh-CN" w:eastAsia="zh-CN"/>
        </w:rPr>
        <w:tab/>
      </w:r>
      <w:r>
        <w:rPr>
          <w:rFonts w:hint="eastAsia" w:ascii="仿宋" w:hAnsi="仿宋" w:eastAsia="仿宋" w:cs="仿宋"/>
          <w:snapToGrid w:val="0"/>
          <w:color w:val="auto"/>
          <w:kern w:val="0"/>
          <w:sz w:val="28"/>
          <w:szCs w:val="28"/>
          <w:highlight w:val="none"/>
          <w:lang w:val="zh-CN" w:eastAsia="zh-CN"/>
        </w:rPr>
        <w:t>由本项目产生的技术成果（包括电子成果）以及实施过程中产生的所有技术文档，其知识产权自产生之日起，即一次性地、不可撤销地、排他地在全球范围法律许可的方式和途径下，全部归我行拥有，未经我行授权同意，参谈方一律不能另作他用。供应商承诺其中标并签署确认书后，放弃其对著作权中所有权利，包括但不限于署名权、保护作品完整权等。在我行要求第三方对技术成果进行修改时，供应商无权干涉上述修改，也无权因此向我行或第三方提出任何要求。</w:t>
      </w:r>
    </w:p>
    <w:p>
      <w:pPr>
        <w:pStyle w:val="3"/>
        <w:keepNext w:val="0"/>
        <w:keepLines w:val="0"/>
        <w:shd w:val="clear"/>
        <w:spacing w:before="0" w:after="0" w:line="560" w:lineRule="exact"/>
        <w:ind w:firstLine="562" w:firstLineChars="200"/>
        <w:rPr>
          <w:rFonts w:hint="eastAsia" w:ascii="Arial" w:hAnsi="Arial" w:eastAsia="仿宋" w:cs="Arial"/>
          <w:snapToGrid w:val="0"/>
          <w:color w:val="auto"/>
          <w:kern w:val="0"/>
          <w:sz w:val="28"/>
          <w:szCs w:val="28"/>
          <w:highlight w:val="none"/>
        </w:rPr>
      </w:pPr>
      <w:r>
        <w:rPr>
          <w:rFonts w:hint="eastAsia" w:ascii="Arial" w:hAnsi="Arial" w:eastAsia="仿宋" w:cs="Arial"/>
          <w:snapToGrid w:val="0"/>
          <w:color w:val="auto"/>
          <w:kern w:val="0"/>
          <w:sz w:val="28"/>
          <w:szCs w:val="28"/>
          <w:highlight w:val="none"/>
          <w:lang w:eastAsia="zh-CN"/>
        </w:rPr>
        <w:t>七</w:t>
      </w:r>
      <w:r>
        <w:rPr>
          <w:rFonts w:hint="eastAsia" w:ascii="Arial" w:hAnsi="Arial" w:eastAsia="仿宋" w:cs="Arial"/>
          <w:snapToGrid w:val="0"/>
          <w:color w:val="auto"/>
          <w:kern w:val="0"/>
          <w:sz w:val="28"/>
          <w:szCs w:val="28"/>
          <w:highlight w:val="none"/>
        </w:rPr>
        <w:t>、验收要求</w:t>
      </w:r>
    </w:p>
    <w:p>
      <w:pPr>
        <w:shd w:val="clear"/>
        <w:overflowPunct w:val="0"/>
        <w:snapToGrid w:val="0"/>
        <w:spacing w:before="120" w:line="360" w:lineRule="auto"/>
        <w:ind w:firstLine="420"/>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1)在2026年8月17日前完成CMMI-L3咨询认证复评，并在CMMI研究所官网上可查询评估结果；</w:t>
      </w:r>
    </w:p>
    <w:p>
      <w:pPr>
        <w:shd w:val="clear"/>
        <w:overflowPunct w:val="0"/>
        <w:snapToGrid w:val="0"/>
        <w:spacing w:before="120" w:line="360" w:lineRule="auto"/>
        <w:ind w:firstLine="420"/>
        <w:textAlignment w:val="bottom"/>
        <w:rPr>
          <w:rFonts w:hint="eastAsia" w:ascii="仿宋" w:hAnsi="仿宋" w:eastAsia="仿宋" w:cs="仿宋"/>
          <w:snapToGrid w:val="0"/>
          <w:color w:val="auto"/>
          <w:kern w:val="0"/>
          <w:sz w:val="28"/>
          <w:szCs w:val="28"/>
          <w:highlight w:val="none"/>
          <w:lang w:val="zh-CN" w:eastAsia="zh-CN"/>
        </w:rPr>
      </w:pPr>
      <w:r>
        <w:rPr>
          <w:rFonts w:hint="eastAsia" w:ascii="仿宋" w:hAnsi="仿宋" w:eastAsia="仿宋" w:cs="仿宋"/>
          <w:snapToGrid w:val="0"/>
          <w:color w:val="auto"/>
          <w:kern w:val="0"/>
          <w:sz w:val="28"/>
          <w:szCs w:val="28"/>
          <w:highlight w:val="none"/>
          <w:lang w:val="zh-CN" w:eastAsia="zh-CN"/>
        </w:rPr>
        <w:t>2)完成体系及过程改进相关的培训；</w:t>
      </w:r>
    </w:p>
    <w:p>
      <w:pPr>
        <w:shd w:val="clear"/>
        <w:overflowPunct w:val="0"/>
        <w:snapToGrid w:val="0"/>
        <w:spacing w:before="120" w:line="360" w:lineRule="auto"/>
        <w:ind w:firstLine="420"/>
        <w:textAlignment w:val="bottom"/>
        <w:rPr>
          <w:rFonts w:hint="eastAsia" w:ascii="仿宋" w:hAnsi="仿宋" w:eastAsia="仿宋" w:cs="仿宋"/>
          <w:snapToGrid w:val="0"/>
          <w:color w:val="auto"/>
          <w:kern w:val="0"/>
          <w:sz w:val="28"/>
          <w:szCs w:val="28"/>
          <w:highlight w:val="none"/>
          <w:lang w:val="zh-CN"/>
        </w:rPr>
      </w:pPr>
      <w:r>
        <w:rPr>
          <w:rFonts w:hint="eastAsia" w:ascii="仿宋" w:hAnsi="仿宋" w:eastAsia="仿宋" w:cs="仿宋"/>
          <w:snapToGrid w:val="0"/>
          <w:color w:val="auto"/>
          <w:kern w:val="0"/>
          <w:sz w:val="28"/>
          <w:szCs w:val="28"/>
          <w:highlight w:val="none"/>
          <w:lang w:val="en-US" w:eastAsia="zh-CN"/>
        </w:rPr>
        <w:t>3)</w:t>
      </w:r>
      <w:r>
        <w:rPr>
          <w:rFonts w:hint="eastAsia" w:ascii="仿宋" w:hAnsi="仿宋" w:eastAsia="仿宋" w:cs="仿宋"/>
          <w:snapToGrid w:val="0"/>
          <w:color w:val="auto"/>
          <w:kern w:val="0"/>
          <w:sz w:val="28"/>
          <w:szCs w:val="28"/>
          <w:highlight w:val="none"/>
          <w:lang w:val="zh-CN"/>
        </w:rPr>
        <w:t>基于CMMI-L5认证提供相应的基础培训，为我行今后的CMMI-L5认证奠定基础。</w:t>
      </w:r>
    </w:p>
    <w:p>
      <w:pPr>
        <w:pStyle w:val="3"/>
        <w:keepNext w:val="0"/>
        <w:keepLines w:val="0"/>
        <w:shd w:val="clear"/>
        <w:spacing w:before="0" w:after="0" w:line="560" w:lineRule="exact"/>
        <w:ind w:firstLine="562" w:firstLineChars="200"/>
        <w:rPr>
          <w:rFonts w:hint="eastAsia" w:ascii="Arial" w:hAnsi="Arial" w:eastAsia="仿宋" w:cs="Arial"/>
          <w:snapToGrid w:val="0"/>
          <w:color w:val="auto"/>
          <w:kern w:val="0"/>
          <w:sz w:val="28"/>
          <w:szCs w:val="28"/>
          <w:highlight w:val="none"/>
        </w:rPr>
      </w:pPr>
      <w:r>
        <w:rPr>
          <w:rFonts w:hint="eastAsia" w:ascii="Arial" w:hAnsi="Arial" w:eastAsia="仿宋" w:cs="Arial"/>
          <w:snapToGrid w:val="0"/>
          <w:color w:val="auto"/>
          <w:kern w:val="0"/>
          <w:sz w:val="28"/>
          <w:szCs w:val="28"/>
          <w:highlight w:val="none"/>
          <w:lang w:eastAsia="zh-CN"/>
        </w:rPr>
        <w:t>八</w:t>
      </w:r>
      <w:r>
        <w:rPr>
          <w:rFonts w:hint="eastAsia" w:ascii="Arial" w:hAnsi="Arial" w:eastAsia="仿宋" w:cs="Arial"/>
          <w:snapToGrid w:val="0"/>
          <w:color w:val="auto"/>
          <w:kern w:val="0"/>
          <w:sz w:val="28"/>
          <w:szCs w:val="28"/>
          <w:highlight w:val="none"/>
        </w:rPr>
        <w:t>、报价总则</w:t>
      </w:r>
    </w:p>
    <w:p>
      <w:pPr>
        <w:widowControl/>
        <w:shd w:val="clear"/>
        <w:ind w:firstLine="565" w:firstLineChars="202"/>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1、所有报价均应已包含国家规定的所有税费</w:t>
      </w:r>
    </w:p>
    <w:p>
      <w:pPr>
        <w:widowControl/>
        <w:shd w:val="clear"/>
        <w:ind w:firstLine="565" w:firstLineChars="202"/>
        <w:jc w:val="left"/>
        <w:rPr>
          <w:rFonts w:hint="eastAsia" w:ascii="仿宋" w:hAnsi="仿宋" w:eastAsia="仿宋" w:cs="仿宋"/>
          <w:b w:val="0"/>
          <w:bCs/>
          <w:color w:val="auto"/>
          <w:kern w:val="0"/>
          <w:sz w:val="28"/>
          <w:szCs w:val="28"/>
          <w:highlight w:val="none"/>
        </w:rPr>
      </w:pPr>
      <w:r>
        <w:rPr>
          <w:rFonts w:hint="eastAsia" w:ascii="仿宋" w:hAnsi="仿宋" w:eastAsia="仿宋" w:cs="仿宋"/>
          <w:b w:val="0"/>
          <w:bCs/>
          <w:color w:val="auto"/>
          <w:kern w:val="0"/>
          <w:sz w:val="28"/>
          <w:szCs w:val="28"/>
          <w:highlight w:val="none"/>
        </w:rPr>
        <w:t>CMMI国际标准认证时产生的一切费用。即咨询费用和认证费用统一纳入本次报价。</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2、付款方式</w:t>
      </w:r>
    </w:p>
    <w:p>
      <w:pPr>
        <w:shd w:val="clear"/>
        <w:ind w:firstLine="567"/>
        <w:rPr>
          <w:rFonts w:hint="eastAsia" w:ascii="仿宋" w:hAnsi="仿宋" w:eastAsia="仿宋" w:cs="仿宋"/>
          <w:color w:val="auto"/>
          <w:kern w:val="0"/>
          <w:sz w:val="28"/>
          <w:szCs w:val="28"/>
          <w:highlight w:val="none"/>
        </w:rPr>
      </w:pPr>
      <w:r>
        <w:rPr>
          <w:rFonts w:hint="eastAsia" w:ascii="仿宋" w:hAnsi="仿宋" w:eastAsia="仿宋" w:cs="仿宋"/>
          <w:snapToGrid w:val="0"/>
          <w:color w:val="auto"/>
          <w:sz w:val="28"/>
          <w:szCs w:val="28"/>
          <w:highlight w:val="none"/>
        </w:rPr>
        <w:t>合同签订后30个工作日内支付合同总金额的20％；</w:t>
      </w:r>
      <w:r>
        <w:rPr>
          <w:rFonts w:hint="eastAsia" w:ascii="仿宋" w:hAnsi="仿宋" w:eastAsia="仿宋" w:cs="仿宋"/>
          <w:snapToGrid w:val="0"/>
          <w:color w:val="auto"/>
          <w:sz w:val="28"/>
          <w:szCs w:val="28"/>
          <w:highlight w:val="none"/>
          <w:lang w:val="en-US" w:eastAsia="zh-CN"/>
        </w:rPr>
        <w:t>完成复评咨询</w:t>
      </w:r>
      <w:r>
        <w:rPr>
          <w:rFonts w:hint="eastAsia" w:ascii="仿宋" w:hAnsi="仿宋" w:eastAsia="仿宋" w:cs="仿宋"/>
          <w:snapToGrid w:val="0"/>
          <w:color w:val="auto"/>
          <w:sz w:val="28"/>
          <w:szCs w:val="28"/>
          <w:highlight w:val="none"/>
        </w:rPr>
        <w:t>后30个工作日内支付合同总金额的70％，</w:t>
      </w:r>
      <w:r>
        <w:rPr>
          <w:rFonts w:hint="eastAsia" w:ascii="仿宋" w:hAnsi="仿宋" w:eastAsia="仿宋" w:cs="仿宋"/>
          <w:color w:val="auto"/>
          <w:kern w:val="0"/>
          <w:sz w:val="28"/>
          <w:szCs w:val="28"/>
          <w:highlight w:val="none"/>
        </w:rPr>
        <w:t>合同约定的项目实施并验收合格之日起一年后30个工作日内支付</w:t>
      </w:r>
      <w:r>
        <w:rPr>
          <w:rFonts w:hint="eastAsia" w:ascii="仿宋" w:hAnsi="仿宋" w:eastAsia="仿宋" w:cs="仿宋"/>
          <w:snapToGrid w:val="0"/>
          <w:color w:val="auto"/>
          <w:sz w:val="28"/>
          <w:szCs w:val="28"/>
          <w:highlight w:val="none"/>
        </w:rPr>
        <w:t>合同总金额的</w:t>
      </w:r>
      <w:r>
        <w:rPr>
          <w:rFonts w:hint="eastAsia" w:ascii="仿宋" w:hAnsi="仿宋" w:eastAsia="仿宋" w:cs="仿宋"/>
          <w:color w:val="auto"/>
          <w:kern w:val="0"/>
          <w:sz w:val="28"/>
          <w:szCs w:val="28"/>
          <w:highlight w:val="none"/>
        </w:rPr>
        <w:t>10％。</w:t>
      </w:r>
    </w:p>
    <w:p>
      <w:pPr>
        <w:pStyle w:val="3"/>
        <w:keepNext w:val="0"/>
        <w:keepLines w:val="0"/>
        <w:shd w:val="clear"/>
        <w:spacing w:before="0" w:after="0" w:line="560" w:lineRule="exact"/>
        <w:ind w:firstLine="562" w:firstLineChars="200"/>
        <w:rPr>
          <w:rFonts w:hint="eastAsia" w:ascii="Arial" w:hAnsi="Arial" w:eastAsia="仿宋" w:cs="Arial"/>
          <w:snapToGrid w:val="0"/>
          <w:color w:val="auto"/>
          <w:kern w:val="0"/>
          <w:sz w:val="28"/>
          <w:szCs w:val="28"/>
          <w:highlight w:val="none"/>
          <w:lang w:eastAsia="zh-CN"/>
        </w:rPr>
      </w:pPr>
      <w:r>
        <w:rPr>
          <w:rFonts w:hint="eastAsia" w:ascii="Arial" w:hAnsi="Arial" w:eastAsia="仿宋" w:cs="Arial"/>
          <w:snapToGrid w:val="0"/>
          <w:color w:val="auto"/>
          <w:kern w:val="0"/>
          <w:sz w:val="28"/>
          <w:szCs w:val="28"/>
          <w:highlight w:val="none"/>
          <w:lang w:eastAsia="zh-CN"/>
        </w:rPr>
        <w:t>九、合同要求</w:t>
      </w:r>
    </w:p>
    <w:p>
      <w:pPr>
        <w:shd w:val="clear"/>
        <w:ind w:firstLine="567"/>
        <w:rPr>
          <w:rFonts w:hint="eastAsia" w:ascii="仿宋" w:hAnsi="仿宋" w:eastAsia="仿宋" w:cs="仿宋"/>
          <w:snapToGrid w:val="0"/>
          <w:color w:val="auto"/>
          <w:sz w:val="28"/>
          <w:szCs w:val="28"/>
          <w:highlight w:val="none"/>
        </w:rPr>
      </w:pPr>
      <w:r>
        <w:rPr>
          <w:rFonts w:hint="eastAsia" w:ascii="仿宋" w:hAnsi="仿宋" w:eastAsia="仿宋" w:cs="仿宋"/>
          <w:snapToGrid w:val="0"/>
          <w:color w:val="auto"/>
          <w:sz w:val="28"/>
          <w:szCs w:val="28"/>
          <w:highlight w:val="none"/>
        </w:rPr>
        <w:t>投标方同意按招标方的要求签定相关合同。</w:t>
      </w:r>
    </w:p>
    <w:p>
      <w:pPr>
        <w:shd w:val="clear"/>
        <w:snapToGrid w:val="0"/>
        <w:spacing w:line="360" w:lineRule="auto"/>
        <w:ind w:firstLine="2560" w:firstLineChars="800"/>
        <w:rPr>
          <w:rFonts w:ascii="Arial" w:hAnsi="Arial" w:eastAsia="黑体" w:cs="Arial"/>
          <w:color w:val="auto"/>
          <w:sz w:val="32"/>
          <w:szCs w:val="32"/>
          <w:highlight w:val="none"/>
        </w:rPr>
      </w:pPr>
    </w:p>
    <w:p>
      <w:pPr>
        <w:pStyle w:val="2"/>
        <w:keepNext w:val="0"/>
        <w:keepLines w:val="0"/>
        <w:shd w:val="clear"/>
        <w:jc w:val="center"/>
        <w:rPr>
          <w:rFonts w:ascii="Arial" w:hAnsi="Arial" w:eastAsia="黑体" w:cs="Arial"/>
          <w:snapToGrid w:val="0"/>
          <w:color w:val="auto"/>
          <w:sz w:val="32"/>
          <w:szCs w:val="32"/>
          <w:highlight w:val="none"/>
        </w:rPr>
      </w:pPr>
      <w:r>
        <w:rPr>
          <w:rFonts w:hint="default" w:ascii="Arial" w:hAnsi="Arial" w:eastAsia="黑体" w:cs="Arial"/>
          <w:snapToGrid w:val="0"/>
          <w:color w:val="auto"/>
          <w:sz w:val="32"/>
          <w:szCs w:val="32"/>
          <w:highlight w:val="none"/>
        </w:rPr>
        <w:t>第三部分</w:t>
      </w:r>
      <w:r>
        <w:rPr>
          <w:rFonts w:hint="default" w:ascii="Arial" w:hAnsi="Arial" w:eastAsia="黑体" w:cs="Arial"/>
          <w:snapToGrid w:val="0"/>
          <w:color w:val="auto"/>
          <w:sz w:val="32"/>
          <w:szCs w:val="32"/>
          <w:highlight w:val="none"/>
        </w:rPr>
        <w:tab/>
      </w:r>
      <w:r>
        <w:rPr>
          <w:rFonts w:hint="default" w:ascii="Arial" w:hAnsi="Arial" w:eastAsia="黑体" w:cs="Arial"/>
          <w:snapToGrid w:val="0"/>
          <w:color w:val="auto"/>
          <w:sz w:val="32"/>
          <w:szCs w:val="32"/>
          <w:highlight w:val="none"/>
        </w:rPr>
        <w:t>招标说明</w:t>
      </w:r>
    </w:p>
    <w:p>
      <w:pPr>
        <w:pStyle w:val="3"/>
        <w:keepNext w:val="0"/>
        <w:keepLines w:val="0"/>
        <w:shd w:val="clear"/>
        <w:spacing w:before="0" w:after="0" w:line="560" w:lineRule="exact"/>
        <w:ind w:firstLine="562" w:firstLineChars="200"/>
        <w:rPr>
          <w:rFonts w:ascii="Arial" w:hAnsi="Arial" w:eastAsia="仿宋" w:cs="Arial"/>
          <w:color w:val="auto"/>
          <w:sz w:val="28"/>
          <w:szCs w:val="28"/>
          <w:highlight w:val="none"/>
        </w:rPr>
      </w:pPr>
      <w:r>
        <w:rPr>
          <w:rFonts w:hint="default" w:ascii="Arial" w:hAnsi="Arial" w:eastAsia="仿宋" w:cs="Arial"/>
          <w:snapToGrid w:val="0"/>
          <w:color w:val="auto"/>
          <w:kern w:val="0"/>
          <w:sz w:val="28"/>
          <w:szCs w:val="28"/>
          <w:highlight w:val="none"/>
        </w:rPr>
        <w:t>一</w:t>
      </w:r>
      <w:r>
        <w:rPr>
          <w:rFonts w:hint="default" w:ascii="Arial" w:hAnsi="Arial" w:eastAsia="仿宋" w:cs="Arial"/>
          <w:color w:val="auto"/>
          <w:sz w:val="28"/>
          <w:szCs w:val="28"/>
          <w:highlight w:val="none"/>
        </w:rPr>
        <w:t>、总体说明</w:t>
      </w:r>
    </w:p>
    <w:p>
      <w:pPr>
        <w:shd w:val="clear"/>
        <w:spacing w:line="560" w:lineRule="exact"/>
        <w:ind w:firstLine="560" w:firstLineChars="200"/>
        <w:rPr>
          <w:rFonts w:hint="eastAsia" w:ascii="仿宋" w:hAnsi="仿宋" w:eastAsia="仿宋" w:cs="仿宋"/>
          <w:color w:val="auto"/>
          <w:sz w:val="28"/>
          <w:highlight w:val="none"/>
        </w:rPr>
      </w:pPr>
      <w:r>
        <w:rPr>
          <w:rFonts w:hint="default" w:ascii="Arial" w:hAnsi="Arial" w:eastAsia="仿宋_GB2312" w:cs="Arial"/>
          <w:color w:val="auto"/>
          <w:sz w:val="28"/>
          <w:highlight w:val="none"/>
        </w:rPr>
        <w:t>（</w:t>
      </w:r>
      <w:r>
        <w:rPr>
          <w:rFonts w:hint="eastAsia" w:ascii="仿宋" w:hAnsi="仿宋" w:eastAsia="仿宋" w:cs="仿宋"/>
          <w:color w:val="auto"/>
          <w:sz w:val="28"/>
          <w:highlight w:val="none"/>
        </w:rPr>
        <w:t>一）适用范围</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本招标文件仅适用于江苏昆山农村商业银行股份有限公司（以下简称“昆山农商银行”）采购而进行的公开招标。</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（二）定义</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1、“招标人”系指组织本次招标的招标机构：昆山农商银行；</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2、“投标人”系指遵守招标文件要求并向招标人提交投标文件的法人单位；</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3、“设备（系统）”系指投标人按招标文件规定，须向招标人提供的设备、软件系统、备品备件、工具、手册及其他有关技术资料和材料；</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4、“服务”系指招标文件规定投标人须承担的技术服务、运输、安装调试、人员培训、售后服务和其他类似的义务；</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5、“招标文件”系指本文件及其附件，如招标人对招标文件及其附件进行有效的修改或澄清，则该修改和澄清构成招标文件不可分割的一部分；</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7、“无效的投标文件”系指属于下列情况之一者，将作为无效处理：</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1）投标文件未按招标文件的要求密封；</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 投标文件未盖公章或未经法定代表人（或授权代理人）签字；</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3）投标文件未按招标文件规定的格式、内容和要求填写；</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4）在投标文件截止期后送达或是通过电报、电话、电传、传真投标文件；</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5）投标文件字迹模糊不清无法辨认的；</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6）投标人在投标文件中提供虚假信息的；</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7）投标文件未送达指定地点，指定接收人。</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（三）对投标人的要求</w:t>
      </w:r>
    </w:p>
    <w:p>
      <w:pPr>
        <w:shd w:val="clear"/>
        <w:spacing w:line="560" w:lineRule="exact"/>
        <w:ind w:firstLine="560" w:firstLineChars="20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rPr>
        <w:t>1、投标方必须为具有独立企业法人资格，具有合法名称、组织机构、固定的办公场所，注册资本要求不少于</w:t>
      </w:r>
      <w:r>
        <w:rPr>
          <w:rFonts w:hint="eastAsia" w:ascii="仿宋" w:hAnsi="仿宋" w:eastAsia="仿宋" w:cs="仿宋"/>
          <w:color w:val="auto"/>
          <w:sz w:val="28"/>
          <w:highlight w:val="none"/>
          <w:lang w:val="en-US" w:eastAsia="zh-CN"/>
        </w:rPr>
        <w:t>5</w:t>
      </w:r>
      <w:r>
        <w:rPr>
          <w:rFonts w:hint="eastAsia" w:ascii="仿宋" w:hAnsi="仿宋" w:eastAsia="仿宋" w:cs="仿宋"/>
          <w:color w:val="auto"/>
          <w:sz w:val="28"/>
          <w:highlight w:val="none"/>
        </w:rPr>
        <w:t>00万元人民币（或等值外币），注册时间不少于</w:t>
      </w: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rPr>
        <w:t>年，具有良好的技术力量、商业信誉和售后服务体系</w:t>
      </w:r>
      <w:r>
        <w:rPr>
          <w:rFonts w:hint="eastAsia" w:ascii="仿宋" w:hAnsi="仿宋" w:eastAsia="仿宋" w:cs="仿宋"/>
          <w:color w:val="auto"/>
          <w:sz w:val="28"/>
          <w:highlight w:val="none"/>
          <w:lang w:eastAsia="zh-CN"/>
        </w:rPr>
        <w:t>，须具备从事CMMI咨询、培训及认证工作的相关能力资质：</w:t>
      </w:r>
    </w:p>
    <w:p>
      <w:pPr>
        <w:shd w:val="clear"/>
        <w:spacing w:line="560" w:lineRule="exact"/>
        <w:ind w:firstLine="560" w:firstLineChars="20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‐从事CMMI咨询业务工作不少于10年；</w:t>
      </w:r>
    </w:p>
    <w:p>
      <w:pPr>
        <w:shd w:val="clear"/>
        <w:spacing w:line="560" w:lineRule="exact"/>
        <w:ind w:firstLine="560" w:firstLineChars="20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‐具备CMMI研究院授权的Partner资格， 拥有至少20名专职提供CMMI技术服务人员，人员工作经验不少于10年；</w:t>
      </w:r>
    </w:p>
    <w:p>
      <w:pPr>
        <w:shd w:val="clear"/>
        <w:spacing w:line="560" w:lineRule="exact"/>
        <w:ind w:firstLine="560" w:firstLineChars="20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‐驻场服务人员必须为专职人员（提供社保记录）；</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lang w:eastAsia="zh-CN"/>
        </w:rPr>
        <w:t>‐不得有不良记录或涉嫌违法的记录；</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2、</w:t>
      </w:r>
      <w:r>
        <w:rPr>
          <w:rFonts w:hint="eastAsia" w:ascii="仿宋" w:hAnsi="仿宋" w:eastAsia="仿宋" w:cs="仿宋"/>
          <w:color w:val="auto"/>
          <w:sz w:val="28"/>
          <w:highlight w:val="none"/>
        </w:rPr>
        <w:t>投标人项目经理需具备CMMI高成熟度主任评估师资格，必须拥有独立领导CMMI-L3项目实施的经验，并且具有不少于10年的软件开发领域工作经验，项目经理需具有CMMI授权高成熟度讲师、敏捷SCRUM MASTER、PMP等资质证书；</w:t>
      </w:r>
    </w:p>
    <w:p>
      <w:pPr>
        <w:shd w:val="clear"/>
        <w:spacing w:line="560" w:lineRule="exact"/>
        <w:ind w:firstLine="560" w:firstLineChars="20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3、</w:t>
      </w:r>
      <w:r>
        <w:rPr>
          <w:rFonts w:hint="eastAsia" w:ascii="仿宋" w:hAnsi="仿宋" w:eastAsia="仿宋" w:cs="仿宋"/>
          <w:color w:val="auto"/>
          <w:sz w:val="28"/>
          <w:highlight w:val="none"/>
        </w:rPr>
        <w:t>投标人项目团队成员必须具备成本度量、需求管理、软件测试等资质证书</w:t>
      </w:r>
      <w:r>
        <w:rPr>
          <w:rFonts w:hint="eastAsia" w:ascii="仿宋" w:hAnsi="仿宋" w:eastAsia="仿宋" w:cs="仿宋"/>
          <w:color w:val="auto"/>
          <w:sz w:val="28"/>
          <w:highlight w:val="none"/>
          <w:lang w:eastAsia="zh-CN"/>
        </w:rPr>
        <w:t>；</w:t>
      </w:r>
    </w:p>
    <w:p>
      <w:pPr>
        <w:shd w:val="clear"/>
        <w:spacing w:line="560" w:lineRule="exact"/>
        <w:ind w:firstLine="560" w:firstLineChars="200"/>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投标人项目团队成员不少于3人且工作经验都不少于10年，项目团队人员工作经验及资质证书分布涵盖IT产品全生命周期（需求、建设、安全、运营），团队成员包括：高成熟度主任评估师（同时具备高成熟度讲师资格）、CMMI咨询师，需求培训讲师、测试培训讲师、敏捷带教教练，度量培训讲师等，按照我行要求实现真正意义上的软件过程和管理改进工作；并负责按照我行需求进行总体规划和实施，相关人员必须具有提供相关服务的资格证书</w:t>
      </w:r>
      <w:r>
        <w:rPr>
          <w:rFonts w:hint="eastAsia" w:ascii="仿宋" w:hAnsi="仿宋" w:eastAsia="仿宋" w:cs="仿宋"/>
          <w:color w:val="auto"/>
          <w:sz w:val="28"/>
          <w:highlight w:val="none"/>
          <w:lang w:eastAsia="zh-CN"/>
        </w:rPr>
        <w:t>，其中：</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咨询师须具备：</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‐要求近3年内独立承担并完成过10家及以上CMMI-L3或以上级别的咨询工作，有10年以上软件工程经验；</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‐要求近三年具备至少2个CMMI-L5等级的实效性咨询成功案例；</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‐具备CMMI内审员资质，具备其他相关资质，如Devops、Scrum Master、6Sigma等；</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‐对CMMI体系理解深刻，具备优秀的沟通能力，能根据用户实际情况展开有针对性的培训、咨询、指导工作；</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‐咨询师必须具备突出的问题分析能力与沟通能力；（要求参与项目实施的咨询师或主任评估师参与投标现场沟通）</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主任评估师须具备：</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‐CMMI研究院授权的CMMI高成熟度主任评估师；</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‐CMMI研究院授权的CMMI高成熟度讲师；</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‐具有丰富的软件工程经验，过程改进经验，以及银行业CMMI评估经验；</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‐在国内及行业内具备较高知名度，声誉良好，熟悉国内企业文化；</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‐主任评估师必须为专职正式员工，提供近3个月社保证明。</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提供涉及规模与工作量估算、敏捷方法、统计过程控制、同行评审及代码走查等质量保证措施、外包选型标准、风险防范经验等实际问题咨询；</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5</w:t>
      </w:r>
      <w:r>
        <w:rPr>
          <w:rFonts w:hint="eastAsia" w:ascii="仿宋" w:hAnsi="仿宋" w:eastAsia="仿宋" w:cs="仿宋"/>
          <w:color w:val="auto"/>
          <w:sz w:val="28"/>
          <w:highlight w:val="none"/>
        </w:rPr>
        <w:t>、投标人必须具有良好的经济和技术实力，能够按时提交招标人要求的交付件，并能够及时地提供招标人要求的优质服务；</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6</w:t>
      </w:r>
      <w:r>
        <w:rPr>
          <w:rFonts w:hint="eastAsia" w:ascii="仿宋" w:hAnsi="仿宋" w:eastAsia="仿宋" w:cs="仿宋"/>
          <w:color w:val="auto"/>
          <w:sz w:val="28"/>
          <w:highlight w:val="none"/>
        </w:rPr>
        <w:t>、投标人必须具有良好的银行资信和商业信誉，没有违法、违约记录，不处于被责令停业，财产被接管、冻结、破产等非正常经营状态；</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7</w:t>
      </w:r>
      <w:r>
        <w:rPr>
          <w:rFonts w:hint="eastAsia" w:ascii="仿宋" w:hAnsi="仿宋" w:eastAsia="仿宋" w:cs="仿宋"/>
          <w:color w:val="auto"/>
          <w:sz w:val="28"/>
          <w:highlight w:val="none"/>
        </w:rPr>
        <w:t>、投标人不得联合第三方共同投标，否则取消投标资格，且不允许中标后将本招标进行分包、转包；</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8</w:t>
      </w:r>
      <w:r>
        <w:rPr>
          <w:rFonts w:hint="eastAsia" w:ascii="仿宋" w:hAnsi="仿宋" w:eastAsia="仿宋" w:cs="仿宋"/>
          <w:color w:val="auto"/>
          <w:sz w:val="28"/>
          <w:highlight w:val="none"/>
        </w:rPr>
        <w:t>、对标的物中包含的第三方产品和服务，要求投标方出具第三方授权书（包括产品、服务功能和价格），招标人保留对该第三方资格认定及与其直接签署合同的权利；</w:t>
      </w:r>
    </w:p>
    <w:p>
      <w:pPr>
        <w:shd w:val="clear"/>
        <w:spacing w:line="560" w:lineRule="exact"/>
        <w:ind w:firstLine="560" w:firstLineChars="200"/>
        <w:rPr>
          <w:rFonts w:hint="eastAsia" w:ascii="仿宋" w:hAnsi="仿宋" w:eastAsia="仿宋" w:cs="仿宋"/>
          <w:color w:val="auto"/>
          <w:sz w:val="28"/>
          <w:highlight w:val="none"/>
          <w:shd w:val="pct10" w:color="auto" w:fill="FFFFFF"/>
        </w:rPr>
      </w:pPr>
      <w:r>
        <w:rPr>
          <w:rFonts w:hint="eastAsia" w:ascii="仿宋" w:hAnsi="仿宋" w:eastAsia="仿宋" w:cs="仿宋"/>
          <w:color w:val="auto"/>
          <w:sz w:val="28"/>
          <w:highlight w:val="none"/>
          <w:lang w:val="en-US" w:eastAsia="zh-CN"/>
        </w:rPr>
        <w:t>9</w:t>
      </w:r>
      <w:r>
        <w:rPr>
          <w:rFonts w:hint="eastAsia" w:ascii="仿宋" w:hAnsi="仿宋" w:eastAsia="仿宋" w:cs="仿宋"/>
          <w:color w:val="auto"/>
          <w:sz w:val="28"/>
          <w:highlight w:val="none"/>
        </w:rPr>
        <w:t>、符合条件需报名的投标人，请在投标截止前五日在昆山农商银行采购管理平台(https://zbcgzx.ksrcb.com:30018/)上完成注册。</w:t>
      </w:r>
      <w:r>
        <w:rPr>
          <w:rFonts w:hint="eastAsia" w:ascii="仿宋" w:hAnsi="仿宋" w:eastAsia="仿宋" w:cs="仿宋"/>
          <w:color w:val="auto"/>
          <w:sz w:val="28"/>
          <w:highlight w:val="none"/>
          <w:shd w:val="pct10" w:color="auto" w:fill="FFFFFF"/>
        </w:rPr>
        <w:t>（公开招标使用）</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（四）投标费用</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投标人应自行承担与参加投标有关的全部费用，招标人在任何情况下无义务和责任承担上述费用。</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（五）投标保证金</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1、项目投标保证金信息</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□有投标保证金          </w:t>
      </w:r>
      <w:r>
        <w:rPr>
          <w:rFonts w:hint="eastAsia" w:ascii="仿宋" w:hAnsi="仿宋" w:eastAsia="仿宋" w:cs="仿宋"/>
          <w:color w:val="auto"/>
          <w:sz w:val="28"/>
          <w:highlight w:val="none"/>
        </w:rPr>
        <w:sym w:font="Wingdings 2" w:char="0052"/>
      </w:r>
      <w:r>
        <w:rPr>
          <w:rFonts w:hint="eastAsia" w:ascii="仿宋" w:hAnsi="仿宋" w:eastAsia="仿宋" w:cs="仿宋"/>
          <w:color w:val="auto"/>
          <w:sz w:val="28"/>
          <w:highlight w:val="none"/>
        </w:rPr>
        <w:t xml:space="preserve">无投标保证金           </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投标保证金金额（小写）：                              </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              （大写）：                              </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户名：昆山农商银行投标保证金专户</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账号：3052252018224116010001</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开户行名称：昆山农村商业银行营业部</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行号：314305206650</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2、投标保证金的缴纳</w:t>
      </w:r>
    </w:p>
    <w:p>
      <w:pPr>
        <w:shd w:val="clear"/>
        <w:spacing w:line="560" w:lineRule="exact"/>
        <w:ind w:firstLine="560" w:firstLineChars="200"/>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rPr>
        <w:t>（1）投标人应在投标前通过我行指定账户足额缴纳投标保证金，投标人缴纳投标保证金后，及时将回执单电子档发招标人邮箱，以便招标人审核，招标人邮箱：</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"mailto:zbcgzx@ksrcb.com" </w:instrText>
      </w:r>
      <w:r>
        <w:rPr>
          <w:rFonts w:hint="eastAsia" w:ascii="仿宋" w:hAnsi="仿宋" w:eastAsia="仿宋" w:cs="仿宋"/>
          <w:color w:val="auto"/>
          <w:highlight w:val="none"/>
        </w:rPr>
        <w:fldChar w:fldCharType="separate"/>
      </w:r>
      <w:r>
        <w:rPr>
          <w:rStyle w:val="15"/>
          <w:rFonts w:hint="eastAsia" w:ascii="仿宋" w:hAnsi="仿宋" w:eastAsia="仿宋" w:cs="仿宋"/>
          <w:color w:val="auto"/>
          <w:sz w:val="28"/>
          <w:highlight w:val="none"/>
          <w:lang w:val="en-US" w:eastAsia="zh-CN"/>
        </w:rPr>
        <w:t>caotingjiu</w:t>
      </w:r>
      <w:r>
        <w:rPr>
          <w:rStyle w:val="15"/>
          <w:rFonts w:hint="eastAsia" w:ascii="仿宋" w:hAnsi="仿宋" w:eastAsia="仿宋" w:cs="仿宋"/>
          <w:color w:val="auto"/>
          <w:sz w:val="28"/>
          <w:highlight w:val="none"/>
        </w:rPr>
        <w:t>@ksrcb.com</w:t>
      </w:r>
      <w:r>
        <w:rPr>
          <w:rStyle w:val="15"/>
          <w:rFonts w:hint="eastAsia" w:ascii="仿宋" w:hAnsi="仿宋" w:eastAsia="仿宋" w:cs="仿宋"/>
          <w:color w:val="auto"/>
          <w:sz w:val="28"/>
          <w:highlight w:val="none"/>
        </w:rPr>
        <w:fldChar w:fldCharType="end"/>
      </w:r>
      <w:r>
        <w:rPr>
          <w:rFonts w:hint="eastAsia" w:ascii="仿宋" w:hAnsi="仿宋" w:eastAsia="仿宋" w:cs="仿宋"/>
          <w:color w:val="auto"/>
          <w:sz w:val="28"/>
          <w:highlight w:val="none"/>
        </w:rPr>
        <w:t>，并将该转账凭证单独密封后寄（送）至</w:t>
      </w:r>
      <w:r>
        <w:rPr>
          <w:rFonts w:hint="eastAsia" w:ascii="仿宋" w:hAnsi="仿宋" w:eastAsia="仿宋" w:cs="仿宋"/>
          <w:color w:val="auto"/>
          <w:sz w:val="28"/>
          <w:highlight w:val="none"/>
          <w:lang w:eastAsia="zh-CN"/>
        </w:rPr>
        <w:t>信息技术部；</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（2）投标保证金需以投标人名义采用银行转账或汇款等方式缴纳，不接受现金或个人账户缴纳保证金。</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（3）投标人在缴纳投标保证金时，需在进帐凭证上注明项目编号和名称。</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（4）凡出现投标保证金未到位或未足额缴纳等与招标文件要求不一致的情况，均自动取消投标人参加该项目的投标资格；</w:t>
      </w:r>
    </w:p>
    <w:p>
      <w:pPr>
        <w:shd w:val="clear"/>
        <w:spacing w:line="560" w:lineRule="exact"/>
        <w:ind w:firstLine="700" w:firstLineChars="250"/>
        <w:rPr>
          <w:rFonts w:hint="eastAsia" w:ascii="仿宋" w:hAnsi="仿宋" w:eastAsia="仿宋" w:cs="仿宋"/>
          <w:color w:val="auto"/>
          <w:sz w:val="28"/>
          <w:highlight w:val="none"/>
        </w:rPr>
      </w:pPr>
      <w:r>
        <w:rPr>
          <w:rFonts w:hint="eastAsia" w:ascii="仿宋" w:hAnsi="仿宋" w:eastAsia="仿宋" w:cs="仿宋"/>
          <w:color w:val="auto"/>
          <w:sz w:val="28"/>
          <w:highlight w:val="none"/>
        </w:rPr>
        <w:t>3、投标保证金的扣划</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投标过程中发生以下情形时，予以投标保证金的扣划，并按相关规定处理：</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（1）投标人在有效期内发生随意撤回、撤销投标行为的；</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（2）投标人中标后无正当理由拒签合同的；</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（3）投标人中标后未按招标人要求足额缴纳履约保证金的；</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（4）其他违法违规行为，经查实情况属实的；</w:t>
      </w:r>
    </w:p>
    <w:p>
      <w:pPr>
        <w:shd w:val="clear"/>
        <w:spacing w:line="560" w:lineRule="exact"/>
        <w:ind w:firstLine="570"/>
        <w:rPr>
          <w:rFonts w:hint="eastAsia" w:ascii="仿宋" w:hAnsi="仿宋" w:eastAsia="仿宋" w:cs="仿宋"/>
          <w:color w:val="auto"/>
          <w:sz w:val="28"/>
          <w:highlight w:val="none"/>
        </w:rPr>
      </w:pPr>
      <w:r>
        <w:rPr>
          <w:rFonts w:hint="eastAsia" w:ascii="仿宋" w:hAnsi="仿宋" w:eastAsia="仿宋" w:cs="仿宋"/>
          <w:color w:val="auto"/>
          <w:sz w:val="28"/>
          <w:highlight w:val="none"/>
        </w:rPr>
        <w:t>4、投标保证金的退还</w:t>
      </w:r>
    </w:p>
    <w:p>
      <w:pPr>
        <w:shd w:val="clear"/>
        <w:spacing w:line="560" w:lineRule="exact"/>
        <w:ind w:firstLine="570"/>
        <w:rPr>
          <w:rFonts w:hint="eastAsia" w:ascii="仿宋" w:hAnsi="仿宋" w:eastAsia="仿宋" w:cs="仿宋"/>
          <w:color w:val="auto"/>
          <w:sz w:val="28"/>
          <w:highlight w:val="none"/>
        </w:rPr>
      </w:pPr>
      <w:r>
        <w:rPr>
          <w:rFonts w:hint="eastAsia" w:ascii="仿宋" w:hAnsi="仿宋" w:eastAsia="仿宋" w:cs="仿宋"/>
          <w:color w:val="auto"/>
          <w:sz w:val="28"/>
          <w:highlight w:val="none"/>
        </w:rPr>
        <w:t>（1）招标人如有需要要求中标方缴纳履约保证金的，投标人中标后，在中标人与招标人签订正式合同后，投标人投标保证金转入其履约保证金账户；如投标人中标后投标保证金不转入其履约保证金账户的，请投标人在投标时书面申明。</w:t>
      </w:r>
    </w:p>
    <w:p>
      <w:pPr>
        <w:shd w:val="clear"/>
        <w:spacing w:line="560" w:lineRule="exact"/>
        <w:ind w:firstLine="570"/>
        <w:rPr>
          <w:rFonts w:hint="eastAsia" w:ascii="仿宋" w:hAnsi="仿宋" w:eastAsia="仿宋" w:cs="仿宋"/>
          <w:color w:val="auto"/>
          <w:sz w:val="28"/>
          <w:highlight w:val="none"/>
        </w:rPr>
      </w:pPr>
      <w:r>
        <w:rPr>
          <w:rFonts w:hint="eastAsia" w:ascii="仿宋" w:hAnsi="仿宋" w:eastAsia="仿宋" w:cs="仿宋"/>
          <w:color w:val="auto"/>
          <w:sz w:val="28"/>
          <w:highlight w:val="none"/>
        </w:rPr>
        <w:t>（2）投标人未中标，招标人按照“资金从哪里来，原样回那里去”的原则退还投标人投标保证金。</w:t>
      </w:r>
    </w:p>
    <w:p>
      <w:pPr>
        <w:shd w:val="clear"/>
        <w:spacing w:line="560" w:lineRule="exact"/>
        <w:ind w:firstLine="570"/>
        <w:rPr>
          <w:rFonts w:hint="eastAsia" w:ascii="仿宋" w:hAnsi="仿宋" w:eastAsia="仿宋" w:cs="仿宋"/>
          <w:color w:val="auto"/>
          <w:sz w:val="28"/>
          <w:highlight w:val="none"/>
        </w:rPr>
      </w:pPr>
      <w:r>
        <w:rPr>
          <w:rFonts w:hint="eastAsia" w:ascii="仿宋" w:hAnsi="仿宋" w:eastAsia="仿宋" w:cs="仿宋"/>
          <w:color w:val="auto"/>
          <w:sz w:val="28"/>
          <w:highlight w:val="none"/>
        </w:rPr>
        <w:t>（3）投标保证金不计息。</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（六）履约保证金</w:t>
      </w:r>
    </w:p>
    <w:p>
      <w:pPr>
        <w:shd w:val="clear"/>
        <w:spacing w:line="560" w:lineRule="exact"/>
        <w:ind w:firstLine="570"/>
        <w:rPr>
          <w:rFonts w:hint="eastAsia" w:ascii="仿宋" w:hAnsi="仿宋" w:eastAsia="仿宋" w:cs="仿宋"/>
          <w:color w:val="auto"/>
          <w:sz w:val="28"/>
          <w:highlight w:val="none"/>
        </w:rPr>
      </w:pPr>
      <w:r>
        <w:rPr>
          <w:rFonts w:hint="eastAsia" w:ascii="仿宋" w:hAnsi="仿宋" w:eastAsia="仿宋" w:cs="仿宋"/>
          <w:color w:val="auto"/>
          <w:sz w:val="28"/>
          <w:highlight w:val="none"/>
        </w:rPr>
        <w:t>1、项目履约保证金信息</w:t>
      </w:r>
    </w:p>
    <w:p>
      <w:pPr>
        <w:shd w:val="clear"/>
        <w:spacing w:line="560" w:lineRule="exact"/>
        <w:ind w:firstLine="57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□有履约保证金           </w:t>
      </w:r>
      <w:r>
        <w:rPr>
          <w:rFonts w:hint="eastAsia" w:ascii="仿宋" w:hAnsi="仿宋" w:eastAsia="仿宋" w:cs="仿宋"/>
          <w:color w:val="auto"/>
          <w:sz w:val="28"/>
          <w:highlight w:val="none"/>
        </w:rPr>
        <w:sym w:font="Wingdings 2" w:char="0052"/>
      </w:r>
      <w:r>
        <w:rPr>
          <w:rFonts w:hint="eastAsia" w:ascii="仿宋" w:hAnsi="仿宋" w:eastAsia="仿宋" w:cs="仿宋"/>
          <w:color w:val="auto"/>
          <w:sz w:val="28"/>
          <w:highlight w:val="none"/>
        </w:rPr>
        <w:t xml:space="preserve">无履约保证金           </w:t>
      </w:r>
    </w:p>
    <w:p>
      <w:pPr>
        <w:shd w:val="clear"/>
        <w:spacing w:line="560" w:lineRule="exact"/>
        <w:ind w:firstLine="57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投标人应在接到中标通知后合同签订前，向招标人指定账户缴纳中标金额的10%作为履行合同条款；</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2、履约保证金的缴纳</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（1）履约保证金需以投标人名义采用银行转账或汇款等方式缴纳，不接受现金或个人账户缴纳保证金。</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（2）投标人在缴纳履约保证金时，需在进帐凭证上注明投标项目编号和名称。</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3、履约保证金的扣划</w:t>
      </w:r>
    </w:p>
    <w:p>
      <w:pPr>
        <w:shd w:val="clear"/>
        <w:spacing w:line="560" w:lineRule="exact"/>
        <w:ind w:firstLine="570"/>
        <w:rPr>
          <w:rFonts w:hint="eastAsia" w:ascii="仿宋" w:hAnsi="仿宋" w:eastAsia="仿宋" w:cs="仿宋"/>
          <w:color w:val="auto"/>
          <w:sz w:val="28"/>
          <w:highlight w:val="none"/>
        </w:rPr>
      </w:pPr>
      <w:r>
        <w:rPr>
          <w:rFonts w:hint="eastAsia" w:ascii="仿宋" w:hAnsi="仿宋" w:eastAsia="仿宋" w:cs="仿宋"/>
          <w:color w:val="auto"/>
          <w:sz w:val="28"/>
          <w:highlight w:val="none"/>
        </w:rPr>
        <w:t>当合同执行过程中发生违反合同规定或违约行为时，应扣划投标人缴纳的履约保证金。</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4、履约保证金的退还</w:t>
      </w:r>
    </w:p>
    <w:p>
      <w:pPr>
        <w:shd w:val="clear"/>
        <w:spacing w:line="560" w:lineRule="exact"/>
        <w:ind w:firstLine="570"/>
        <w:rPr>
          <w:rFonts w:hint="eastAsia" w:ascii="仿宋" w:hAnsi="仿宋" w:eastAsia="仿宋" w:cs="仿宋"/>
          <w:color w:val="auto"/>
          <w:sz w:val="28"/>
          <w:highlight w:val="none"/>
        </w:rPr>
      </w:pPr>
      <w:r>
        <w:rPr>
          <w:rFonts w:hint="eastAsia" w:ascii="仿宋" w:hAnsi="仿宋" w:eastAsia="仿宋" w:cs="仿宋"/>
          <w:color w:val="auto"/>
          <w:sz w:val="28"/>
          <w:highlight w:val="none"/>
        </w:rPr>
        <w:t>（1）项目结项后满足退还标准且资料齐全；</w:t>
      </w:r>
    </w:p>
    <w:p>
      <w:pPr>
        <w:shd w:val="clear"/>
        <w:spacing w:line="560" w:lineRule="exact"/>
        <w:ind w:firstLine="570"/>
        <w:rPr>
          <w:rFonts w:hint="eastAsia" w:ascii="仿宋" w:hAnsi="仿宋" w:eastAsia="仿宋" w:cs="仿宋"/>
          <w:color w:val="auto"/>
          <w:sz w:val="28"/>
          <w:highlight w:val="none"/>
        </w:rPr>
      </w:pPr>
      <w:r>
        <w:rPr>
          <w:rFonts w:hint="eastAsia" w:ascii="仿宋" w:hAnsi="仿宋" w:eastAsia="仿宋" w:cs="仿宋"/>
          <w:color w:val="auto"/>
          <w:sz w:val="28"/>
          <w:highlight w:val="none"/>
        </w:rPr>
        <w:t>（2）履约保证金不计息。</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（七）招标文件的解释及咨询</w:t>
      </w:r>
    </w:p>
    <w:p>
      <w:pPr>
        <w:shd w:val="clear"/>
        <w:spacing w:line="560" w:lineRule="exact"/>
        <w:ind w:firstLine="840" w:firstLineChars="300"/>
        <w:rPr>
          <w:rFonts w:hint="eastAsia" w:ascii="仿宋" w:hAnsi="仿宋" w:eastAsia="仿宋" w:cs="仿宋"/>
          <w:color w:val="auto"/>
          <w:sz w:val="28"/>
          <w:highlight w:val="none"/>
        </w:rPr>
      </w:pPr>
      <w:r>
        <w:rPr>
          <w:rFonts w:hint="eastAsia" w:ascii="仿宋" w:hAnsi="仿宋" w:eastAsia="仿宋" w:cs="仿宋"/>
          <w:color w:val="auto"/>
          <w:sz w:val="28"/>
          <w:highlight w:val="none"/>
        </w:rPr>
        <w:t>本招标文件的解释权属招标人，对本次招标有任何询问，请与昆山农商银行本次招标联系人联系。</w:t>
      </w:r>
    </w:p>
    <w:p>
      <w:pPr>
        <w:pStyle w:val="3"/>
        <w:keepNext w:val="0"/>
        <w:keepLines w:val="0"/>
        <w:shd w:val="clear"/>
        <w:spacing w:before="0" w:after="0"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二、招标文件说明</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（一）是否限价招标</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 是        最高限价</w:t>
      </w:r>
      <w:r>
        <w:rPr>
          <w:rFonts w:hint="eastAsia" w:ascii="仿宋" w:hAnsi="仿宋" w:eastAsia="仿宋" w:cs="仿宋"/>
          <w:color w:val="auto"/>
          <w:sz w:val="28"/>
          <w:highlight w:val="none"/>
          <w:u w:val="single"/>
        </w:rPr>
        <w:t xml:space="preserve">           </w:t>
      </w:r>
      <w:r>
        <w:rPr>
          <w:rFonts w:hint="eastAsia" w:ascii="仿宋" w:hAnsi="仿宋" w:eastAsia="仿宋" w:cs="仿宋"/>
          <w:color w:val="auto"/>
          <w:sz w:val="28"/>
          <w:highlight w:val="none"/>
        </w:rPr>
        <w:t xml:space="preserve">（元）          </w:t>
      </w:r>
      <w:r>
        <w:rPr>
          <w:rFonts w:hint="eastAsia" w:ascii="仿宋" w:hAnsi="仿宋" w:eastAsia="仿宋" w:cs="仿宋"/>
          <w:color w:val="auto"/>
          <w:sz w:val="28"/>
          <w:highlight w:val="none"/>
        </w:rPr>
        <w:sym w:font="Wingdings 2" w:char="0052"/>
      </w:r>
      <w:r>
        <w:rPr>
          <w:rFonts w:hint="eastAsia" w:ascii="仿宋" w:hAnsi="仿宋" w:eastAsia="仿宋" w:cs="仿宋"/>
          <w:color w:val="auto"/>
          <w:sz w:val="28"/>
          <w:highlight w:val="none"/>
        </w:rPr>
        <w:t xml:space="preserve"> 否</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（二）项目实施时间、地点和方式</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项目实施时间：根据项目整体规划与时间要求，CMMI</w:t>
      </w:r>
      <w:r>
        <w:rPr>
          <w:rFonts w:hint="eastAsia" w:ascii="仿宋" w:hAnsi="仿宋" w:eastAsia="仿宋" w:cs="仿宋"/>
          <w:color w:val="auto"/>
          <w:sz w:val="28"/>
          <w:highlight w:val="none"/>
          <w:lang w:val="en-US" w:eastAsia="zh-CN"/>
        </w:rPr>
        <w:t>-L</w:t>
      </w:r>
      <w:r>
        <w:rPr>
          <w:rFonts w:hint="eastAsia" w:ascii="仿宋" w:hAnsi="仿宋" w:eastAsia="仿宋" w:cs="仿宋"/>
          <w:color w:val="auto"/>
          <w:sz w:val="28"/>
          <w:highlight w:val="none"/>
        </w:rPr>
        <w:t>3咨询认证复评项目整个周期为4个月，并要求在</w:t>
      </w:r>
      <w:r>
        <w:rPr>
          <w:rFonts w:hint="eastAsia" w:ascii="仿宋" w:hAnsi="仿宋" w:eastAsia="仿宋" w:cs="仿宋"/>
          <w:color w:val="auto"/>
          <w:sz w:val="28"/>
          <w:highlight w:val="none"/>
          <w:lang w:val="en-US" w:eastAsia="zh-CN"/>
        </w:rPr>
        <w:t>7</w:t>
      </w:r>
      <w:r>
        <w:rPr>
          <w:rFonts w:hint="eastAsia" w:ascii="仿宋" w:hAnsi="仿宋" w:eastAsia="仿宋" w:cs="仿宋"/>
          <w:color w:val="auto"/>
          <w:sz w:val="28"/>
          <w:highlight w:val="none"/>
        </w:rPr>
        <w:t>月</w:t>
      </w:r>
      <w:r>
        <w:rPr>
          <w:rFonts w:hint="eastAsia" w:ascii="仿宋" w:hAnsi="仿宋" w:eastAsia="仿宋" w:cs="仿宋"/>
          <w:color w:val="auto"/>
          <w:sz w:val="28"/>
          <w:highlight w:val="none"/>
          <w:lang w:val="en-US" w:eastAsia="zh-CN"/>
        </w:rPr>
        <w:t>31</w:t>
      </w:r>
      <w:r>
        <w:rPr>
          <w:rFonts w:hint="eastAsia" w:ascii="仿宋" w:hAnsi="仿宋" w:eastAsia="仿宋" w:cs="仿宋"/>
          <w:color w:val="auto"/>
          <w:sz w:val="28"/>
          <w:highlight w:val="none"/>
        </w:rPr>
        <w:t>日前通过评估，咨询机构咨询师现场常驻辅导人天不能低于20人天。</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项目实施地点：江苏省昆山市花桥镇中城商务广场3</w:t>
      </w:r>
      <w:r>
        <w:rPr>
          <w:rFonts w:hint="eastAsia" w:ascii="仿宋" w:hAnsi="仿宋" w:eastAsia="仿宋" w:cs="仿宋"/>
          <w:color w:val="auto"/>
          <w:sz w:val="28"/>
          <w:highlight w:val="none"/>
          <w:lang w:eastAsia="zh-CN"/>
        </w:rPr>
        <w:t>号楼</w:t>
      </w:r>
      <w:r>
        <w:rPr>
          <w:rFonts w:hint="eastAsia" w:ascii="仿宋" w:hAnsi="仿宋" w:eastAsia="仿宋" w:cs="仿宋"/>
          <w:color w:val="auto"/>
          <w:sz w:val="28"/>
          <w:highlight w:val="none"/>
        </w:rPr>
        <w:t>。</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项目实施方式：现场进行CMMI</w:t>
      </w:r>
      <w:r>
        <w:rPr>
          <w:rFonts w:hint="eastAsia" w:ascii="仿宋" w:hAnsi="仿宋" w:eastAsia="仿宋" w:cs="仿宋"/>
          <w:color w:val="auto"/>
          <w:sz w:val="28"/>
          <w:highlight w:val="none"/>
          <w:lang w:val="en-US" w:eastAsia="zh-CN"/>
        </w:rPr>
        <w:t>-L</w:t>
      </w:r>
      <w:r>
        <w:rPr>
          <w:rFonts w:hint="eastAsia" w:ascii="仿宋" w:hAnsi="仿宋" w:eastAsia="仿宋" w:cs="仿宋"/>
          <w:color w:val="auto"/>
          <w:sz w:val="28"/>
          <w:highlight w:val="none"/>
        </w:rPr>
        <w:t>3咨询认证复评。</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（三）合同款的支付条件、时间和支付方式</w:t>
      </w:r>
    </w:p>
    <w:p>
      <w:pPr>
        <w:shd w:val="clear"/>
        <w:spacing w:line="560" w:lineRule="exact"/>
        <w:ind w:firstLine="560" w:firstLineChars="200"/>
        <w:rPr>
          <w:rFonts w:hint="eastAsia" w:ascii="仿宋" w:hAnsi="仿宋" w:eastAsia="仿宋" w:cs="仿宋"/>
          <w:color w:val="auto"/>
          <w:sz w:val="28"/>
          <w:highlight w:val="yellow"/>
          <w:lang w:eastAsia="zh-CN"/>
        </w:rPr>
      </w:pPr>
      <w:r>
        <w:rPr>
          <w:rFonts w:hint="eastAsia" w:ascii="仿宋" w:hAnsi="仿宋" w:eastAsia="仿宋" w:cs="仿宋"/>
          <w:color w:val="auto"/>
          <w:sz w:val="28"/>
          <w:highlight w:val="none"/>
        </w:rPr>
        <w:t>合同款的支付条件：合同签订后30个工作日内支付合同总金额的20％；完成复评咨询后30个工作日内支付合同总金额的70％，合同约定的项目实施并验收合格之日起一年后30个工作日内支付合同总金额的10％</w:t>
      </w:r>
      <w:r>
        <w:rPr>
          <w:rFonts w:hint="eastAsia" w:ascii="仿宋" w:hAnsi="仿宋" w:eastAsia="仿宋" w:cs="仿宋"/>
          <w:color w:val="auto"/>
          <w:sz w:val="28"/>
          <w:highlight w:val="none"/>
          <w:lang w:eastAsia="zh-CN"/>
        </w:rPr>
        <w:t>。</w:t>
      </w:r>
    </w:p>
    <w:p>
      <w:pPr>
        <w:numPr>
          <w:ilvl w:val="0"/>
          <w:numId w:val="8"/>
        </w:num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评标方法、评标标准</w:t>
      </w:r>
    </w:p>
    <w:p>
      <w:pPr>
        <w:spacing w:line="360" w:lineRule="auto"/>
        <w:ind w:firstLine="560" w:firstLineChars="200"/>
        <w:rPr>
          <w:rFonts w:ascii="仿宋_GB2312" w:hAnsi="宋体" w:eastAsia="仿宋_GB2312"/>
          <w:sz w:val="28"/>
        </w:rPr>
      </w:pPr>
      <w:r>
        <w:rPr>
          <w:rFonts w:hint="eastAsia" w:ascii="仿宋_GB2312" w:hAnsi="宋体" w:eastAsia="仿宋_GB2312"/>
          <w:sz w:val="28"/>
        </w:rPr>
        <w:t>1.综合评分【100分】=商务评分（报价）【</w:t>
      </w:r>
      <w:r>
        <w:rPr>
          <w:rFonts w:hint="eastAsia" w:ascii="仿宋_GB2312" w:hAnsi="宋体" w:eastAsia="仿宋_GB2312"/>
          <w:sz w:val="28"/>
          <w:lang w:val="en-US" w:eastAsia="zh-CN"/>
        </w:rPr>
        <w:t>5</w:t>
      </w:r>
      <w:r>
        <w:rPr>
          <w:rFonts w:hint="eastAsia" w:ascii="仿宋_GB2312" w:hAnsi="宋体" w:eastAsia="仿宋_GB2312"/>
          <w:sz w:val="28"/>
        </w:rPr>
        <w:t>0分】</w:t>
      </w:r>
      <w:r>
        <w:rPr>
          <w:rFonts w:hint="eastAsia" w:ascii="仿宋_GB2312" w:hAnsi="宋体" w:eastAsia="仿宋_GB2312"/>
          <w:sz w:val="28"/>
          <w:lang w:val="en-US" w:eastAsia="zh-CN"/>
        </w:rPr>
        <w:t>+</w:t>
      </w:r>
      <w:r>
        <w:rPr>
          <w:rFonts w:hint="eastAsia" w:ascii="仿宋_GB2312" w:hAnsi="宋体" w:eastAsia="仿宋_GB2312"/>
          <w:sz w:val="28"/>
        </w:rPr>
        <w:t>商务评分（现场）【</w:t>
      </w:r>
      <w:r>
        <w:rPr>
          <w:rFonts w:hint="eastAsia" w:ascii="仿宋_GB2312" w:hAnsi="宋体" w:eastAsia="仿宋_GB2312"/>
          <w:sz w:val="28"/>
          <w:lang w:val="en-US" w:eastAsia="zh-CN"/>
        </w:rPr>
        <w:t>5</w:t>
      </w:r>
      <w:r>
        <w:rPr>
          <w:rFonts w:hint="eastAsia" w:ascii="仿宋_GB2312" w:hAnsi="宋体" w:eastAsia="仿宋_GB2312"/>
          <w:sz w:val="28"/>
        </w:rPr>
        <w:t>0分】；</w:t>
      </w:r>
    </w:p>
    <w:p>
      <w:pPr>
        <w:spacing w:line="360" w:lineRule="auto"/>
        <w:ind w:firstLine="560" w:firstLineChars="200"/>
        <w:rPr>
          <w:rFonts w:hint="eastAsia" w:ascii="仿宋_GB2312" w:hAnsi="宋体" w:eastAsia="仿宋_GB2312"/>
          <w:sz w:val="28"/>
        </w:rPr>
      </w:pPr>
      <w:r>
        <w:rPr>
          <w:rFonts w:hint="eastAsia" w:ascii="仿宋_GB2312" w:hAnsi="宋体" w:eastAsia="仿宋_GB2312"/>
          <w:sz w:val="28"/>
        </w:rPr>
        <w:t>2.商务评分（报价）计算规则【</w:t>
      </w:r>
      <w:r>
        <w:rPr>
          <w:rFonts w:hint="eastAsia" w:ascii="仿宋_GB2312" w:hAnsi="宋体" w:eastAsia="仿宋_GB2312"/>
          <w:sz w:val="28"/>
          <w:lang w:val="en-US" w:eastAsia="zh-CN"/>
        </w:rPr>
        <w:t>5</w:t>
      </w:r>
      <w:r>
        <w:rPr>
          <w:rFonts w:hint="eastAsia" w:ascii="仿宋_GB2312" w:hAnsi="宋体" w:eastAsia="仿宋_GB2312"/>
          <w:sz w:val="28"/>
        </w:rPr>
        <w:t>0分】：以</w:t>
      </w:r>
      <w:r>
        <w:rPr>
          <w:rFonts w:hint="eastAsia" w:ascii="仿宋_GB2312" w:hAnsi="宋体" w:eastAsia="仿宋_GB2312"/>
          <w:sz w:val="28"/>
          <w:lang w:eastAsia="zh-CN"/>
        </w:rPr>
        <w:t>最后一次有效</w:t>
      </w:r>
      <w:r>
        <w:rPr>
          <w:rFonts w:hint="eastAsia" w:ascii="仿宋_GB2312" w:hAnsi="宋体" w:eastAsia="仿宋_GB2312"/>
          <w:sz w:val="28"/>
        </w:rPr>
        <w:t>报价为准，按均值偏离度规则计算。均值偏离度规则是以所有有效报价均值作为评标基准价，报价等于评标基准价得满分</w:t>
      </w:r>
      <w:r>
        <w:rPr>
          <w:rFonts w:hint="eastAsia" w:ascii="仿宋_GB2312" w:hAnsi="宋体" w:eastAsia="仿宋_GB2312"/>
          <w:sz w:val="28"/>
          <w:lang w:val="en-US" w:eastAsia="zh-CN"/>
        </w:rPr>
        <w:t>5</w:t>
      </w:r>
      <w:r>
        <w:rPr>
          <w:rFonts w:hint="eastAsia" w:ascii="仿宋_GB2312" w:hAnsi="宋体" w:eastAsia="仿宋_GB2312"/>
          <w:sz w:val="28"/>
        </w:rPr>
        <w:t>0分。报价比评标基准价每低1%，扣0.</w:t>
      </w:r>
      <w:r>
        <w:rPr>
          <w:rFonts w:hint="eastAsia" w:ascii="仿宋_GB2312" w:hAnsi="宋体" w:eastAsia="仿宋_GB2312"/>
          <w:sz w:val="28"/>
          <w:lang w:val="en-US" w:eastAsia="zh-CN"/>
        </w:rPr>
        <w:t>3</w:t>
      </w:r>
      <w:r>
        <w:rPr>
          <w:rFonts w:hint="eastAsia" w:ascii="仿宋_GB2312" w:hAnsi="宋体" w:eastAsia="仿宋_GB2312"/>
          <w:sz w:val="28"/>
        </w:rPr>
        <w:t>分；报价比基准价每高1%，扣0.5分；</w:t>
      </w:r>
    </w:p>
    <w:p>
      <w:pPr>
        <w:spacing w:line="360" w:lineRule="auto"/>
        <w:ind w:firstLine="560" w:firstLineChars="200"/>
        <w:rPr>
          <w:rFonts w:ascii="仿宋_GB2312" w:hAnsi="宋体" w:eastAsia="仿宋_GB2312"/>
          <w:color w:val="000000" w:themeColor="text1"/>
          <w:sz w:val="28"/>
          <w14:textFill>
            <w14:solidFill>
              <w14:schemeClr w14:val="tx1"/>
            </w14:solidFill>
          </w14:textFill>
        </w:rPr>
      </w:pPr>
      <w:r>
        <w:rPr>
          <w:rFonts w:hint="eastAsia" w:ascii="仿宋_GB2312" w:hAnsi="宋体" w:eastAsia="仿宋_GB2312"/>
          <w:sz w:val="28"/>
        </w:rPr>
        <w:t>3.商务评分（现场）【</w:t>
      </w:r>
      <w:r>
        <w:rPr>
          <w:rFonts w:hint="eastAsia" w:ascii="仿宋_GB2312" w:hAnsi="宋体" w:eastAsia="仿宋_GB2312"/>
          <w:sz w:val="28"/>
          <w:lang w:val="en-US" w:eastAsia="zh-CN"/>
        </w:rPr>
        <w:t>5</w:t>
      </w:r>
      <w:r>
        <w:rPr>
          <w:rFonts w:hint="eastAsia" w:ascii="仿宋_GB2312" w:hAnsi="宋体" w:eastAsia="仿宋_GB2312"/>
          <w:sz w:val="28"/>
        </w:rPr>
        <w:t>0分】</w:t>
      </w:r>
      <w:r>
        <w:rPr>
          <w:rFonts w:hint="eastAsia" w:ascii="仿宋_GB2312" w:hAnsi="宋体" w:eastAsia="仿宋_GB2312"/>
          <w:color w:val="000000" w:themeColor="text1"/>
          <w:sz w:val="28"/>
          <w14:textFill>
            <w14:solidFill>
              <w14:schemeClr w14:val="tx1"/>
            </w14:solidFill>
          </w14:textFill>
        </w:rPr>
        <w:t>具体</w:t>
      </w:r>
      <w:r>
        <w:rPr>
          <w:rFonts w:ascii="仿宋_GB2312" w:hAnsi="宋体" w:eastAsia="仿宋_GB2312"/>
          <w:color w:val="000000" w:themeColor="text1"/>
          <w:sz w:val="28"/>
          <w14:textFill>
            <w14:solidFill>
              <w14:schemeClr w14:val="tx1"/>
            </w14:solidFill>
          </w14:textFill>
        </w:rPr>
        <w:t>评分规则如下：</w:t>
      </w:r>
    </w:p>
    <w:p>
      <w:pPr>
        <w:rPr>
          <w:rFonts w:ascii="仿宋_GB2312" w:hAnsi="宋体" w:eastAsia="仿宋_GB2312"/>
          <w:color w:val="000000" w:themeColor="text1"/>
          <w:sz w:val="28"/>
          <w14:textFill>
            <w14:solidFill>
              <w14:schemeClr w14:val="tx1"/>
            </w14:solidFill>
          </w14:textFill>
        </w:rPr>
      </w:pPr>
      <w:r>
        <w:rPr>
          <w:rFonts w:ascii="仿宋_GB2312" w:hAnsi="宋体" w:eastAsia="仿宋_GB2312"/>
          <w:color w:val="000000" w:themeColor="text1"/>
          <w:sz w:val="28"/>
          <w14:textFill>
            <w14:solidFill>
              <w14:schemeClr w14:val="tx1"/>
            </w14:solidFill>
          </w14:textFill>
        </w:rPr>
        <w:br w:type="page"/>
      </w:r>
    </w:p>
    <w:p>
      <w:pPr>
        <w:spacing w:line="360" w:lineRule="auto"/>
        <w:ind w:firstLine="560" w:firstLineChars="200"/>
        <w:rPr>
          <w:rFonts w:hint="eastAsia" w:ascii="仿宋_GB2312" w:hAnsi="宋体" w:eastAsia="仿宋_GB2312"/>
          <w:color w:val="000000" w:themeColor="text1"/>
          <w:sz w:val="28"/>
          <w14:textFill>
            <w14:solidFill>
              <w14:schemeClr w14:val="tx1"/>
            </w14:solidFill>
          </w14:textFill>
        </w:rPr>
      </w:pPr>
    </w:p>
    <w:tbl>
      <w:tblPr>
        <w:tblStyle w:val="13"/>
        <w:tblW w:w="83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8"/>
        <w:gridCol w:w="2050"/>
        <w:gridCol w:w="4275"/>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ind w:left="0" w:leftChars="0" w:firstLine="0" w:firstLine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评分指标</w:t>
            </w:r>
          </w:p>
        </w:tc>
        <w:tc>
          <w:tcPr>
            <w:tcW w:w="20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ind w:left="0" w:leftChars="0" w:firstLine="0" w:firstLine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评分子项</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ind w:left="0" w:leftChars="0" w:firstLine="0" w:firstLine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指标说明</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7"/>
              <w:ind w:left="0" w:leftChars="0" w:firstLine="0" w:firstLineChars="0"/>
              <w:jc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体系建设</w:t>
            </w:r>
          </w:p>
        </w:tc>
        <w:tc>
          <w:tcPr>
            <w:tcW w:w="20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提供流程管理所需的过程、方法、模板、指南</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提供流程管理所需的过程、方法、模板、指南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过程管理体系建设</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提供1~2个项目进行至少2轮的迭代教练指导，平衡敏捷与规范，引入敏捷开发思想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提供符合CMMI-</w:t>
            </w:r>
            <w:r>
              <w:rPr>
                <w:rFonts w:hint="eastAsia" w:ascii="宋体" w:hAnsi="宋体" w:cs="宋体"/>
                <w:i w:val="0"/>
                <w:iCs w:val="0"/>
                <w:color w:val="000000"/>
                <w:kern w:val="0"/>
                <w:sz w:val="21"/>
                <w:szCs w:val="21"/>
                <w:u w:val="none"/>
                <w:lang w:val="en-US" w:eastAsia="zh-CN" w:bidi="ar"/>
              </w:rPr>
              <w:t>L</w:t>
            </w:r>
            <w:r>
              <w:rPr>
                <w:rFonts w:hint="eastAsia" w:ascii="宋体" w:hAnsi="宋体" w:eastAsia="宋体" w:cs="宋体"/>
                <w:i w:val="0"/>
                <w:iCs w:val="0"/>
                <w:color w:val="000000"/>
                <w:kern w:val="0"/>
                <w:sz w:val="21"/>
                <w:szCs w:val="21"/>
                <w:u w:val="none"/>
                <w:lang w:val="en-US" w:eastAsia="zh-CN" w:bidi="ar"/>
              </w:rPr>
              <w:t>3级所有过程域的软件研发项目管理工具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提供持续改进机制建立的方法论，以提高科技项目的过程管理能力</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提供国际ISTQB培训，强化测试能力，提高测试团队的技术水平，</w:t>
            </w:r>
            <w:r>
              <w:rPr>
                <w:rFonts w:hint="eastAsia" w:ascii="宋体" w:hAnsi="宋体" w:cs="宋体"/>
                <w:i w:val="0"/>
                <w:iCs w:val="0"/>
                <w:color w:val="000000"/>
                <w:kern w:val="0"/>
                <w:sz w:val="21"/>
                <w:szCs w:val="21"/>
                <w:u w:val="none"/>
                <w:lang w:val="en-US" w:eastAsia="zh-CN" w:bidi="ar"/>
              </w:rPr>
              <w:t>依据TMMI测试模型提供相关的改进方案</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提供量化管理与成本度量的方法论、相关管理工具，为科学合理的考核项目提供依据</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基于我行现有的项目管理实践，进行分析后提供切实可行的优化策略和赋能方案，用以提升整体效能</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trPr>
        <w:tc>
          <w:tcPr>
            <w:tcW w:w="111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培训服务</w:t>
            </w:r>
          </w:p>
        </w:tc>
        <w:tc>
          <w:tcPr>
            <w:tcW w:w="20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体系及过程改进相关的培训</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提供体系及过程改进相关的培训，提供有效自学型的培训体系建设方案</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11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评估经验</w:t>
            </w:r>
          </w:p>
        </w:tc>
        <w:tc>
          <w:tcPr>
            <w:tcW w:w="205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对投标公司的评估经验和履约能力</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投标方近三年需具有银行业不少于3个CMMI-</w:t>
            </w:r>
            <w:r>
              <w:rPr>
                <w:rFonts w:hint="eastAsia" w:ascii="宋体" w:hAnsi="宋体" w:cs="宋体"/>
                <w:i w:val="0"/>
                <w:iCs w:val="0"/>
                <w:color w:val="000000"/>
                <w:kern w:val="0"/>
                <w:sz w:val="21"/>
                <w:szCs w:val="21"/>
                <w:u w:val="none"/>
                <w:lang w:val="en-US" w:eastAsia="zh-CN" w:bidi="ar"/>
              </w:rPr>
              <w:t>L</w:t>
            </w:r>
            <w:r>
              <w:rPr>
                <w:rFonts w:hint="eastAsia" w:ascii="宋体" w:hAnsi="宋体" w:eastAsia="宋体" w:cs="宋体"/>
                <w:i w:val="0"/>
                <w:iCs w:val="0"/>
                <w:color w:val="000000"/>
                <w:kern w:val="0"/>
                <w:sz w:val="21"/>
                <w:szCs w:val="21"/>
                <w:u w:val="none"/>
                <w:lang w:val="en-US" w:eastAsia="zh-CN" w:bidi="ar"/>
              </w:rPr>
              <w:t>3级认证经验、不少于2个CMMI-</w:t>
            </w:r>
            <w:r>
              <w:rPr>
                <w:rFonts w:hint="eastAsia" w:ascii="宋体" w:hAnsi="宋体" w:cs="宋体"/>
                <w:i w:val="0"/>
                <w:iCs w:val="0"/>
                <w:color w:val="000000"/>
                <w:kern w:val="0"/>
                <w:sz w:val="21"/>
                <w:szCs w:val="21"/>
                <w:u w:val="none"/>
                <w:lang w:val="en-US" w:eastAsia="zh-CN" w:bidi="ar"/>
              </w:rPr>
              <w:t>L</w:t>
            </w:r>
            <w:r>
              <w:rPr>
                <w:rFonts w:hint="eastAsia" w:ascii="宋体" w:hAnsi="宋体" w:eastAsia="宋体" w:cs="宋体"/>
                <w:i w:val="0"/>
                <w:iCs w:val="0"/>
                <w:color w:val="000000"/>
                <w:kern w:val="0"/>
                <w:sz w:val="21"/>
                <w:szCs w:val="21"/>
                <w:u w:val="none"/>
                <w:lang w:val="en-US" w:eastAsia="zh-CN" w:bidi="ar"/>
              </w:rPr>
              <w:t>5级认证经验</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投标方具有独立企业法人资格，具有合法名称、组织机构、固定的办公场所</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2" w:hRule="atLeast"/>
        </w:trPr>
        <w:tc>
          <w:tcPr>
            <w:tcW w:w="1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投标方具有良好的银行资信和商业信誉，没有违法、违约记录，不处于被责令停业，财产被接管、冻结、破产等非正常经营状态</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（五）拟签订的合同文本</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详见第四部分附件5</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（六）其他说明</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lang w:eastAsia="zh-CN"/>
        </w:rPr>
        <w:t>无</w:t>
      </w:r>
    </w:p>
    <w:p>
      <w:pPr>
        <w:pStyle w:val="3"/>
        <w:keepNext w:val="0"/>
        <w:keepLines w:val="0"/>
        <w:shd w:val="clear"/>
        <w:spacing w:before="0" w:after="0"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三、投标文件说明</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（一）要求</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1、投标人应仔细阅读招标文件的所有内容，按招标文件的要求提供投标文件，并保证所提供的全部资料的真实性，以使其投标对招标文件作出实质性响应，否则其投标可能被拒绝；</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2、除非有特殊要求，招标文件不单独提供招标设备（系统）或服务使用地的自然环境、气候条件、公用设施等情况，投标人被视为熟悉上述情况。</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（二）投标文件的组成</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投标文件应包括但不限于下列所列文件：</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1、法定代表人身份证明或法定代表人授权委托书（法定代表人参加投标，不用此委托书）。</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2、投标书</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必须按照本招标文件第四部分附件的格式要求制作，未经招标人书面同意，该格式不允许作任何修改。</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3、投标价格一览表（须另装，详见“投标文件的签署及规定”）</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应包括投标报价、维护承诺、其他重要补充事项等内容。</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4、服务内容描述</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投标人必须对“招标项目要求”逐个或分块地作出实质性响应，其响应应与招标文件内容采用相同的顺序，对每个需求的响应必须遵循如下规则：</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1）重复该需求；</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2）用“是/否”来表明该需求是否被满足；</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3）简要描述如何满足该需求，如果该响应在投标文件其他部分有详述，可在该处简单应答，但必须给出确切的位置索引；</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4）解释投标文件或投标方案与招标项目需求之间的偏差，用数量来表示的需求，必须用确切的数量单位来响应。</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5、项目实施计划</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应根据对项目需求的理解，提出详细、切实可行的项目实施计划及方案。</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6、售后服务计划</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应说明售后服务的内容、形式、收费标准；维护单位名称、地点、人员；服务响应时间等，并应包含免费维护期及期外的售后服务计划。</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7、投标人情况简介</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应包含投标人基本情况与背景资料、业务经营情况、最近三年类似相关项目实施情况、及投标人最新的经过审计的财务报表、相关内控制度及连续性方案等。</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8、投标人资格证明文件</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1）投标人营业执照复印件；</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2）若分公司参加投标的，需总公司的正式授权书（即签订合同只与有法人资格的公司签订）；</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3）生产厂商授权函；</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4）其他相关资格证明文件。</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9、供应商反腐败/反贿赂承诺书</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必须按照本招标文件第四部分附件6的格式要求制作，未经招标人书面同意，该格式不允许作任何修改。</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10、其他</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1）投标方实施其它银行此产品案例的合同复印件或加盖单位公章的产品定单；</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2）投标人自愿提供的其他全部文件；</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3）优惠条款的说明等。</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（三）投标文件的签署及规定</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投标人应准备一份正本、二份副本、一份电子档，正副本及电子档均不含报价单，另装一份密封投标报价单和一份投标保证金回执单（报价单与保证金回执分装）。在每一份投标文件上要明确注明“正本”、“副本”、“电子档”、“报价单”、“保证金回执单”字样，若正本和副本有差异以正本为准；</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 xml:space="preserve">2、投标文件正本、副本、报价单须统一用A4纸打印装订并由投标人法定代表人或授权代理人在正本封面上签章处签字并加盖公章、骑缝章； </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3、投标文件须标注页码，封面后的第一页为标书的目录，整本标书须标注统一的页码，成功案例合同等复印件可以手工填上统一的页码；</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4、除投标人对错漏处作必要修改外，投标文件中不许有加行、涂抹或改写。如有修改错漏处，必须由投标人法定代表人或授权代理人签字并加盖公章。</w:t>
      </w:r>
    </w:p>
    <w:p>
      <w:pPr>
        <w:pStyle w:val="3"/>
        <w:keepNext w:val="0"/>
        <w:keepLines w:val="0"/>
        <w:shd w:val="clear"/>
        <w:spacing w:before="0" w:after="0"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四、投标文件的递交</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（一）投标文件的密封和递交</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投标人应将投标文件的正、副本、报价单和电子档、保证金回执单分别用非透明文件袋密封，在封签处加盖公章，并标明投标人名称、正本（或副本、报价单、电子档、回执单）招标编号、投标产品名称及项目联系人和联系电话；</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2、每一密封袋上注明“于开标前不准启封”的字样；</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3、投标价格表及其它各种承诺均须有法定代表人（或其委托的全权代表人）的签字、日期并加盖公章。</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（二）投标文件的修改和撤回</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1、投标人在提交投标文件后可对其投标文件进行补充、修改或撤回，但招标人须在投标截止时间之前收到该补充、修改或撤回的书面通知，该通知须经投标人的法定代表人或授权代理人签字并加盖公章；</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2、投标人对投标文件进行补充、修改的书面材料或撤回的通知应按本招标文件规定进行编写、密封、标注和递送，并注明“补充/修改投标文件”或“撤回投标”字样；</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3、投标截止时间以后不得对投标文件进行修改或补充。</w:t>
      </w:r>
    </w:p>
    <w:p>
      <w:pPr>
        <w:pStyle w:val="3"/>
        <w:keepNext w:val="0"/>
        <w:keepLines w:val="0"/>
        <w:shd w:val="clear"/>
        <w:spacing w:before="0" w:after="0" w:line="560" w:lineRule="exact"/>
        <w:ind w:firstLine="562"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五、开标和评标</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（一）开标</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此次招标采用：本行评标专家组进行现场开标、评标。</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（二）评标因素</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1、招标人根据具体招标项目分类对每一个投标条件进行比较。对其内容进行分析比较：</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1）投标价格；</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2）投标方整体实力及成功案例总数；</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3）投标方技术方案、成功案例分析及产品特制设计；</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4）投标方技术实力（研发人员、售后服务能力）；</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5）投标方的资信情况和履约能力；</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6）投标方提供的其他优惠条件。</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（三）投标文件的审查</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1、开标后，招标人将组织审查投标文件是否完整，是否有计算错误，文件是否恰当地签署；</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2、在对投标文件进行详细评估之前，招标人将依据投标人提供的资格证明文件审查投标人的财务、技术和生产能力。如果确定投标人无能力提供设备（系统）和技术支持，其投标将被拒绝；</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3、招标人将确定每一投标是否对招标文件的要求作出了实质性的响应，而没有明显的偏离或保留；</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4、招标人判断投标文件的响应性仅基于投标文件本身而不靠外部证据；</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5、招标人将拒绝被确定为非实质性响应的投标，投标人不能通过修正或撤销不符之处而使其投标成为实质性响应的投标。</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（四）投标文件的澄清</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2、澄清应是书面的，并由法定代表人或其授权代理人签字；</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3、投标人的澄清文件是投标文件的组成部分，并取代投标文件中被澄清的部分；</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4、投标文件的澄清不得对投标内容进行实质性修改。</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（五）评标工作</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1、招标人将按照公开、公平、公正的原则对待所有投标方；</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 评标是招标工作的重要环节，评标工作在招标人内独立进行；</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3、招标人不承诺报价最低者为中标者；</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4、在投标、开标期间，投标人不得向招标人询问情况，不得进行旨在影响评标结果的活动，招标人保留对投标人进行疑问咨询的权力；</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5、在投标、评标过程中，如有投标人联合故意抬高报价或其他不正当行为，招标人有权中止投标或评标；</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6、江苏昆山农村商业银行股份有限公司保留对本次招标的最终解释权。</w:t>
      </w:r>
    </w:p>
    <w:p>
      <w:pPr>
        <w:pStyle w:val="3"/>
        <w:keepNext w:val="0"/>
        <w:keepLines w:val="0"/>
        <w:shd w:val="clear"/>
        <w:spacing w:before="0" w:after="0" w:line="560" w:lineRule="exact"/>
        <w:ind w:firstLine="562" w:firstLineChars="200"/>
        <w:rPr>
          <w:rFonts w:hint="eastAsia" w:ascii="仿宋" w:hAnsi="仿宋" w:eastAsia="仿宋" w:cs="仿宋"/>
          <w:color w:val="auto"/>
          <w:sz w:val="28"/>
          <w:szCs w:val="28"/>
          <w:highlight w:val="none"/>
        </w:rPr>
      </w:pPr>
      <w:bookmarkStart w:id="47" w:name="_GoBack"/>
      <w:bookmarkEnd w:id="47"/>
      <w:r>
        <w:rPr>
          <w:rFonts w:hint="eastAsia" w:ascii="仿宋" w:hAnsi="仿宋" w:eastAsia="仿宋" w:cs="仿宋"/>
          <w:color w:val="auto"/>
          <w:sz w:val="28"/>
          <w:szCs w:val="28"/>
          <w:highlight w:val="none"/>
        </w:rPr>
        <w:t>六、中标与签署合同</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（一）定标原则</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招标人不承诺向投标方披露招标过程中任何细节，包括中标或落标原因。</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（二）中标通知</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1.定标后，招标人将发出中标通知；</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2.对落标的投标人不再另行发出落标通知；</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3.中标通知将作为招标人与中标人签订合同的依据之一。</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（三）签订合同</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1、招标人将按照招标文件和投标人的投标文件与中标人签订书面合同，签订合同之前，双方需对合同的具体细节进行商谈。</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2、招标人对有关内容有权作出必要的细化和补充，但有关细化和补充不得背离招标文件和投标文件的实质性内容。</w:t>
      </w:r>
    </w:p>
    <w:p>
      <w:pPr>
        <w:shd w:val="clear"/>
        <w:spacing w:line="560" w:lineRule="exact"/>
        <w:ind w:firstLine="560" w:firstLineChars="200"/>
        <w:rPr>
          <w:rFonts w:hint="eastAsia" w:ascii="仿宋" w:hAnsi="仿宋" w:eastAsia="仿宋" w:cs="仿宋"/>
          <w:color w:val="auto"/>
          <w:sz w:val="28"/>
          <w:highlight w:val="none"/>
        </w:rPr>
      </w:pPr>
      <w:r>
        <w:rPr>
          <w:rFonts w:hint="eastAsia" w:ascii="仿宋" w:hAnsi="仿宋" w:eastAsia="仿宋" w:cs="仿宋"/>
          <w:color w:val="auto"/>
          <w:sz w:val="28"/>
          <w:highlight w:val="none"/>
        </w:rPr>
        <w:t>3、招标文件、中标方的投标文件及其澄清文件等，均为签订合同的依据。</w:t>
      </w:r>
    </w:p>
    <w:p>
      <w:pPr>
        <w:shd w:val="clear"/>
        <w:spacing w:line="560" w:lineRule="exact"/>
        <w:ind w:firstLine="560" w:firstLineChars="200"/>
        <w:rPr>
          <w:rFonts w:ascii="Arial" w:hAnsi="Arial" w:eastAsia="仿宋_GB2312" w:cs="Arial"/>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rPr>
        <w:t>、投标人同意按招标人的要求签定相关合同，</w:t>
      </w:r>
      <w:r>
        <w:rPr>
          <w:rFonts w:hint="eastAsia" w:ascii="仿宋" w:hAnsi="仿宋" w:eastAsia="仿宋" w:cs="仿宋"/>
          <w:color w:val="auto"/>
          <w:sz w:val="28"/>
          <w:szCs w:val="28"/>
          <w:highlight w:val="none"/>
        </w:rPr>
        <w:t>具体内容以实际签订的合同内容为准。</w:t>
      </w:r>
    </w:p>
    <w:p>
      <w:pPr>
        <w:shd w:val="clear"/>
        <w:spacing w:line="360" w:lineRule="auto"/>
        <w:ind w:firstLine="560" w:firstLineChars="200"/>
        <w:rPr>
          <w:rFonts w:ascii="Arial" w:hAnsi="Arial" w:eastAsia="仿宋_GB2312" w:cs="Arial"/>
          <w:color w:val="auto"/>
          <w:sz w:val="28"/>
          <w:highlight w:val="none"/>
        </w:rPr>
        <w:sectPr>
          <w:pgSz w:w="11906" w:h="16838"/>
          <w:pgMar w:top="1440" w:right="1800" w:bottom="1440" w:left="1800" w:header="851" w:footer="992" w:gutter="0"/>
          <w:cols w:space="720" w:num="1"/>
          <w:docGrid w:type="lines" w:linePitch="312" w:charSpace="0"/>
        </w:sectPr>
      </w:pPr>
    </w:p>
    <w:p>
      <w:pPr>
        <w:pStyle w:val="2"/>
        <w:keepNext w:val="0"/>
        <w:keepLines w:val="0"/>
        <w:shd w:val="clear"/>
        <w:jc w:val="center"/>
        <w:rPr>
          <w:rFonts w:ascii="Arial" w:hAnsi="Arial" w:eastAsia="黑体" w:cs="Arial"/>
          <w:color w:val="auto"/>
          <w:sz w:val="32"/>
          <w:szCs w:val="32"/>
          <w:highlight w:val="none"/>
        </w:rPr>
      </w:pPr>
      <w:r>
        <w:rPr>
          <w:rFonts w:hint="default" w:ascii="Arial" w:hAnsi="Arial" w:eastAsia="黑体" w:cs="Arial"/>
          <w:color w:val="auto"/>
          <w:sz w:val="32"/>
          <w:szCs w:val="32"/>
          <w:highlight w:val="none"/>
        </w:rPr>
        <w:t>第四部分</w:t>
      </w:r>
      <w:r>
        <w:rPr>
          <w:rFonts w:hint="default" w:ascii="Arial" w:hAnsi="Arial" w:eastAsia="黑体" w:cs="Arial"/>
          <w:color w:val="auto"/>
          <w:sz w:val="32"/>
          <w:szCs w:val="32"/>
          <w:highlight w:val="none"/>
        </w:rPr>
        <w:tab/>
      </w:r>
      <w:r>
        <w:rPr>
          <w:rFonts w:hint="default" w:ascii="Arial" w:hAnsi="Arial" w:eastAsia="黑体" w:cs="Arial"/>
          <w:color w:val="auto"/>
          <w:sz w:val="32"/>
          <w:szCs w:val="32"/>
          <w:highlight w:val="none"/>
        </w:rPr>
        <w:t>投标文件格式</w:t>
      </w:r>
    </w:p>
    <w:p>
      <w:pPr>
        <w:shd w:val="clear"/>
        <w:snapToGrid w:val="0"/>
        <w:spacing w:line="360" w:lineRule="auto"/>
        <w:outlineLvl w:val="1"/>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附件1：《投标书》</w:t>
      </w:r>
    </w:p>
    <w:p>
      <w:pPr>
        <w:pStyle w:val="8"/>
        <w:shd w:val="clear"/>
        <w:adjustRightInd w:val="0"/>
        <w:jc w:val="center"/>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投</w:t>
      </w:r>
      <w:r>
        <w:rPr>
          <w:rFonts w:hint="default" w:ascii="Arial" w:hAnsi="Arial" w:eastAsia="仿宋_GB2312" w:cs="Arial"/>
          <w:snapToGrid w:val="0"/>
          <w:color w:val="auto"/>
          <w:sz w:val="28"/>
          <w:szCs w:val="28"/>
          <w:highlight w:val="none"/>
        </w:rPr>
        <w:tab/>
      </w:r>
      <w:r>
        <w:rPr>
          <w:rFonts w:ascii="Arial" w:hAnsi="Arial" w:eastAsia="仿宋_GB2312" w:cs="Arial"/>
          <w:snapToGrid w:val="0"/>
          <w:color w:val="auto"/>
          <w:sz w:val="28"/>
          <w:szCs w:val="28"/>
          <w:highlight w:val="none"/>
        </w:rPr>
        <w:t>标</w:t>
      </w:r>
      <w:r>
        <w:rPr>
          <w:rFonts w:hint="default" w:ascii="Arial" w:hAnsi="Arial" w:eastAsia="仿宋_GB2312" w:cs="Arial"/>
          <w:snapToGrid w:val="0"/>
          <w:color w:val="auto"/>
          <w:sz w:val="28"/>
          <w:szCs w:val="28"/>
          <w:highlight w:val="none"/>
        </w:rPr>
        <w:tab/>
      </w:r>
      <w:r>
        <w:rPr>
          <w:rFonts w:ascii="Arial" w:hAnsi="Arial" w:eastAsia="仿宋_GB2312" w:cs="Arial"/>
          <w:snapToGrid w:val="0"/>
          <w:color w:val="auto"/>
          <w:sz w:val="28"/>
          <w:szCs w:val="28"/>
          <w:highlight w:val="none"/>
        </w:rPr>
        <w:t>书</w:t>
      </w:r>
    </w:p>
    <w:p>
      <w:pPr>
        <w:pStyle w:val="8"/>
        <w:shd w:val="clear"/>
        <w:adjustRightInd w:val="0"/>
        <w:rPr>
          <w:rFonts w:ascii="Arial" w:hAnsi="Arial" w:eastAsia="仿宋_GB2312" w:cs="Arial"/>
          <w:b/>
          <w:snapToGrid w:val="0"/>
          <w:color w:val="auto"/>
          <w:sz w:val="28"/>
          <w:szCs w:val="28"/>
          <w:highlight w:val="none"/>
        </w:rPr>
      </w:pPr>
    </w:p>
    <w:p>
      <w:pPr>
        <w:pStyle w:val="8"/>
        <w:shd w:val="clear"/>
        <w:adjustRightInd w:val="0"/>
        <w:rPr>
          <w:rFonts w:ascii="Arial" w:hAnsi="Arial" w:eastAsia="仿宋_GB2312" w:cs="Arial"/>
          <w:color w:val="auto"/>
          <w:sz w:val="28"/>
          <w:highlight w:val="none"/>
        </w:rPr>
      </w:pPr>
      <w:r>
        <w:rPr>
          <w:rFonts w:ascii="Arial" w:hAnsi="Arial" w:eastAsia="仿宋_GB2312" w:cs="Arial"/>
          <w:color w:val="auto"/>
          <w:sz w:val="28"/>
          <w:highlight w:val="none"/>
        </w:rPr>
        <w:t>致：江苏</w:t>
      </w:r>
      <w:r>
        <w:rPr>
          <w:rFonts w:hint="default" w:ascii="Arial" w:hAnsi="Arial" w:eastAsia="仿宋_GB2312" w:cs="Arial"/>
          <w:color w:val="auto"/>
          <w:sz w:val="28"/>
          <w:highlight w:val="none"/>
        </w:rPr>
        <w:t>昆山</w:t>
      </w:r>
      <w:r>
        <w:rPr>
          <w:rFonts w:ascii="Arial" w:hAnsi="Arial" w:eastAsia="仿宋_GB2312" w:cs="Arial"/>
          <w:color w:val="auto"/>
          <w:sz w:val="28"/>
          <w:highlight w:val="none"/>
        </w:rPr>
        <w:t>农村商业银行股份有限公司</w:t>
      </w:r>
    </w:p>
    <w:p>
      <w:pPr>
        <w:shd w:val="clear"/>
        <w:autoSpaceDE w:val="0"/>
        <w:autoSpaceDN w:val="0"/>
        <w:adjustRightInd w:val="0"/>
        <w:ind w:firstLine="624"/>
        <w:jc w:val="left"/>
        <w:rPr>
          <w:rFonts w:ascii="Arial" w:hAnsi="Arial" w:eastAsia="仿宋_GB2312" w:cs="Arial"/>
          <w:color w:val="auto"/>
          <w:sz w:val="28"/>
          <w:highlight w:val="none"/>
        </w:rPr>
      </w:pPr>
      <w:r>
        <w:rPr>
          <w:rFonts w:hint="default" w:ascii="Arial" w:hAnsi="Arial" w:eastAsia="仿宋_GB2312" w:cs="Arial"/>
          <w:color w:val="auto"/>
          <w:sz w:val="28"/>
          <w:highlight w:val="none"/>
        </w:rPr>
        <w:t>根据贵方       招标书，投标人              （投标人名称）提供相关文件并做出以下承诺：</w:t>
      </w:r>
    </w:p>
    <w:p>
      <w:pPr>
        <w:numPr>
          <w:ilvl w:val="0"/>
          <w:numId w:val="9"/>
        </w:numPr>
        <w:shd w:val="clear"/>
        <w:autoSpaceDE w:val="0"/>
        <w:autoSpaceDN w:val="0"/>
        <w:adjustRightInd w:val="0"/>
        <w:ind w:firstLine="624"/>
        <w:jc w:val="left"/>
        <w:rPr>
          <w:rFonts w:ascii="Arial" w:hAnsi="Arial" w:eastAsia="仿宋_GB2312" w:cs="Arial"/>
          <w:color w:val="auto"/>
          <w:sz w:val="28"/>
          <w:highlight w:val="none"/>
        </w:rPr>
      </w:pPr>
      <w:r>
        <w:rPr>
          <w:rFonts w:hint="default" w:ascii="Arial" w:hAnsi="Arial" w:eastAsia="仿宋_GB2312" w:cs="Arial"/>
          <w:color w:val="auto"/>
          <w:sz w:val="28"/>
          <w:highlight w:val="none"/>
        </w:rPr>
        <w:t>招标文件规定的全部文件正本一份，副本二份，电子文档一份、报价单一份。</w:t>
      </w:r>
    </w:p>
    <w:p>
      <w:pPr>
        <w:shd w:val="clear"/>
        <w:autoSpaceDE w:val="0"/>
        <w:autoSpaceDN w:val="0"/>
        <w:adjustRightInd w:val="0"/>
        <w:ind w:firstLine="560" w:firstLineChars="200"/>
        <w:jc w:val="left"/>
        <w:rPr>
          <w:rFonts w:ascii="Arial" w:hAnsi="Arial" w:eastAsia="仿宋_GB2312" w:cs="Arial"/>
          <w:color w:val="auto"/>
          <w:sz w:val="28"/>
          <w:highlight w:val="none"/>
        </w:rPr>
      </w:pPr>
      <w:r>
        <w:rPr>
          <w:rFonts w:hint="default" w:ascii="Arial" w:hAnsi="Arial" w:eastAsia="仿宋_GB2312" w:cs="Arial"/>
          <w:color w:val="auto"/>
          <w:sz w:val="28"/>
          <w:highlight w:val="none"/>
        </w:rPr>
        <w:t>二、投标人同意如下：</w:t>
      </w:r>
    </w:p>
    <w:p>
      <w:pPr>
        <w:shd w:val="clear"/>
        <w:adjustRightInd w:val="0"/>
        <w:ind w:firstLine="700" w:firstLineChars="250"/>
        <w:rPr>
          <w:rFonts w:ascii="Arial" w:hAnsi="Arial" w:eastAsia="仿宋_GB2312" w:cs="Arial"/>
          <w:color w:val="auto"/>
          <w:sz w:val="28"/>
          <w:highlight w:val="none"/>
        </w:rPr>
      </w:pPr>
      <w:r>
        <w:rPr>
          <w:rFonts w:hint="default" w:ascii="Arial" w:hAnsi="Arial" w:eastAsia="仿宋_GB2312" w:cs="Arial"/>
          <w:color w:val="auto"/>
          <w:sz w:val="28"/>
          <w:highlight w:val="none"/>
        </w:rPr>
        <w:t>1．投标人完全接受招标文件中的内容，并将按招标文件的规定履行义务，按相关法律法规履行投标人的全部责任；</w:t>
      </w:r>
    </w:p>
    <w:p>
      <w:pPr>
        <w:shd w:val="clear"/>
        <w:adjustRightInd w:val="0"/>
        <w:ind w:firstLine="700" w:firstLineChars="250"/>
        <w:rPr>
          <w:rFonts w:ascii="Arial" w:hAnsi="Arial" w:eastAsia="仿宋_GB2312" w:cs="Arial"/>
          <w:color w:val="auto"/>
          <w:sz w:val="28"/>
          <w:highlight w:val="none"/>
        </w:rPr>
      </w:pPr>
      <w:r>
        <w:rPr>
          <w:rFonts w:hint="default" w:ascii="Arial" w:hAnsi="Arial" w:eastAsia="仿宋_GB2312" w:cs="Arial"/>
          <w:color w:val="auto"/>
          <w:sz w:val="28"/>
          <w:highlight w:val="none"/>
        </w:rPr>
        <w:t>2.投标人己详细审查全部招标文件，包括修改文件以及全部参考资料和有关附件，无其他不明事项；</w:t>
      </w:r>
    </w:p>
    <w:p>
      <w:pPr>
        <w:shd w:val="clear"/>
        <w:adjustRightInd w:val="0"/>
        <w:ind w:firstLine="700" w:firstLineChars="250"/>
        <w:rPr>
          <w:rFonts w:ascii="Arial" w:hAnsi="Arial" w:eastAsia="仿宋_GB2312" w:cs="Arial"/>
          <w:color w:val="auto"/>
          <w:sz w:val="28"/>
          <w:highlight w:val="none"/>
        </w:rPr>
      </w:pPr>
      <w:r>
        <w:rPr>
          <w:rFonts w:hint="default" w:ascii="Arial" w:hAnsi="Arial" w:eastAsia="仿宋_GB2312" w:cs="Arial"/>
          <w:color w:val="auto"/>
          <w:sz w:val="28"/>
          <w:highlight w:val="none"/>
        </w:rPr>
        <w:t>3.投标人同意招标人要求的相关数据或资料，完全理解招标人在招标文件中确定的评标原则和程序，理解贵方不一定要接受最低报价的投标。</w:t>
      </w:r>
    </w:p>
    <w:p>
      <w:pPr>
        <w:shd w:val="clear"/>
        <w:adjustRightInd w:val="0"/>
        <w:ind w:firstLine="700" w:firstLineChars="250"/>
        <w:rPr>
          <w:rFonts w:ascii="Arial" w:hAnsi="Arial" w:eastAsia="仿宋_GB2312" w:cs="Arial"/>
          <w:color w:val="auto"/>
          <w:sz w:val="28"/>
          <w:highlight w:val="none"/>
        </w:rPr>
      </w:pPr>
      <w:r>
        <w:rPr>
          <w:rFonts w:hint="default" w:ascii="Arial" w:hAnsi="Arial" w:eastAsia="仿宋_GB2312" w:cs="Arial"/>
          <w:color w:val="auto"/>
          <w:sz w:val="28"/>
          <w:highlight w:val="none"/>
        </w:rPr>
        <w:t>三、投标方保证投标文件中所有关于投标资格的文件，证明陈述均是真实的、准确的。若有违背，投标方愿意承担由此而产生的一切后果。</w:t>
      </w:r>
    </w:p>
    <w:p>
      <w:pPr>
        <w:shd w:val="clear"/>
        <w:adjustRightInd w:val="0"/>
        <w:ind w:firstLine="624"/>
        <w:rPr>
          <w:rFonts w:ascii="Arial" w:hAnsi="Arial" w:eastAsia="仿宋_GB2312" w:cs="Arial"/>
          <w:color w:val="auto"/>
          <w:sz w:val="28"/>
          <w:highlight w:val="none"/>
        </w:rPr>
      </w:pPr>
      <w:r>
        <w:rPr>
          <w:rFonts w:hint="default" w:ascii="Arial" w:hAnsi="Arial" w:eastAsia="仿宋_GB2312" w:cs="Arial"/>
          <w:color w:val="auto"/>
          <w:sz w:val="28"/>
          <w:highlight w:val="none"/>
        </w:rPr>
        <w:t>与本投标有关的一切正式信函请使用以下地址：</w:t>
      </w:r>
    </w:p>
    <w:p>
      <w:pPr>
        <w:pStyle w:val="8"/>
        <w:shd w:val="clear"/>
        <w:adjustRightInd w:val="0"/>
        <w:ind w:firstLine="624"/>
        <w:rPr>
          <w:rFonts w:ascii="Arial" w:hAnsi="Arial" w:eastAsia="仿宋_GB2312" w:cs="Arial"/>
          <w:color w:val="auto"/>
          <w:sz w:val="28"/>
          <w:highlight w:val="none"/>
        </w:rPr>
      </w:pPr>
      <w:r>
        <w:rPr>
          <w:rFonts w:ascii="Arial" w:hAnsi="Arial" w:eastAsia="仿宋_GB2312" w:cs="Arial"/>
          <w:color w:val="auto"/>
          <w:sz w:val="28"/>
          <w:highlight w:val="none"/>
        </w:rPr>
        <w:t xml:space="preserve">地址：                           </w:t>
      </w:r>
    </w:p>
    <w:p>
      <w:pPr>
        <w:pStyle w:val="8"/>
        <w:shd w:val="clear"/>
        <w:adjustRightInd w:val="0"/>
        <w:ind w:firstLine="624"/>
        <w:rPr>
          <w:rFonts w:ascii="Arial" w:hAnsi="Arial" w:eastAsia="仿宋_GB2312" w:cs="Arial"/>
          <w:color w:val="auto"/>
          <w:sz w:val="28"/>
          <w:highlight w:val="none"/>
        </w:rPr>
      </w:pPr>
      <w:r>
        <w:rPr>
          <w:rFonts w:ascii="Arial" w:hAnsi="Arial" w:eastAsia="仿宋_GB2312" w:cs="Arial"/>
          <w:color w:val="auto"/>
          <w:sz w:val="28"/>
          <w:highlight w:val="none"/>
        </w:rPr>
        <w:t xml:space="preserve">邮编：                           </w:t>
      </w:r>
    </w:p>
    <w:p>
      <w:pPr>
        <w:pStyle w:val="8"/>
        <w:shd w:val="clear"/>
        <w:adjustRightInd w:val="0"/>
        <w:ind w:firstLine="624"/>
        <w:rPr>
          <w:rFonts w:ascii="Arial" w:hAnsi="Arial" w:eastAsia="仿宋_GB2312" w:cs="Arial"/>
          <w:color w:val="auto"/>
          <w:sz w:val="28"/>
          <w:highlight w:val="none"/>
        </w:rPr>
      </w:pPr>
      <w:r>
        <w:rPr>
          <w:rFonts w:ascii="Arial" w:hAnsi="Arial" w:eastAsia="仿宋_GB2312" w:cs="Arial"/>
          <w:color w:val="auto"/>
          <w:sz w:val="28"/>
          <w:highlight w:val="none"/>
        </w:rPr>
        <w:t xml:space="preserve">电话：                           </w:t>
      </w:r>
    </w:p>
    <w:p>
      <w:pPr>
        <w:pStyle w:val="8"/>
        <w:shd w:val="clear"/>
        <w:adjustRightInd w:val="0"/>
        <w:ind w:firstLine="624"/>
        <w:rPr>
          <w:rFonts w:ascii="Arial" w:hAnsi="Arial" w:eastAsia="仿宋_GB2312" w:cs="Arial"/>
          <w:color w:val="auto"/>
          <w:sz w:val="28"/>
          <w:highlight w:val="none"/>
        </w:rPr>
      </w:pPr>
      <w:r>
        <w:rPr>
          <w:rFonts w:ascii="Arial" w:hAnsi="Arial" w:eastAsia="仿宋_GB2312" w:cs="Arial"/>
          <w:color w:val="auto"/>
          <w:sz w:val="28"/>
          <w:highlight w:val="none"/>
        </w:rPr>
        <w:t xml:space="preserve">传真：                           </w:t>
      </w:r>
    </w:p>
    <w:p>
      <w:pPr>
        <w:pStyle w:val="8"/>
        <w:shd w:val="clear"/>
        <w:adjustRightInd w:val="0"/>
        <w:ind w:firstLine="624"/>
        <w:rPr>
          <w:rFonts w:ascii="Arial" w:hAnsi="Arial" w:eastAsia="仿宋_GB2312" w:cs="Arial"/>
          <w:color w:val="auto"/>
          <w:sz w:val="28"/>
          <w:highlight w:val="none"/>
        </w:rPr>
      </w:pPr>
      <w:r>
        <w:rPr>
          <w:rFonts w:ascii="Arial" w:hAnsi="Arial" w:eastAsia="仿宋_GB2312" w:cs="Arial"/>
          <w:color w:val="auto"/>
          <w:sz w:val="28"/>
          <w:highlight w:val="none"/>
        </w:rPr>
        <w:t xml:space="preserve">投标人法定代表人姓名、职务（印刷体）：             </w:t>
      </w:r>
    </w:p>
    <w:p>
      <w:pPr>
        <w:pStyle w:val="8"/>
        <w:shd w:val="clear"/>
        <w:adjustRightInd w:val="0"/>
        <w:ind w:firstLine="624"/>
        <w:rPr>
          <w:rFonts w:ascii="Arial" w:hAnsi="Arial" w:eastAsia="仿宋_GB2312" w:cs="Arial"/>
          <w:color w:val="auto"/>
          <w:sz w:val="28"/>
          <w:highlight w:val="none"/>
        </w:rPr>
      </w:pPr>
      <w:r>
        <w:rPr>
          <w:rFonts w:ascii="Arial" w:hAnsi="Arial" w:eastAsia="仿宋_GB2312" w:cs="Arial"/>
          <w:color w:val="auto"/>
          <w:sz w:val="28"/>
          <w:highlight w:val="none"/>
        </w:rPr>
        <w:t xml:space="preserve">投标人名称：                       </w:t>
      </w:r>
    </w:p>
    <w:p>
      <w:pPr>
        <w:pStyle w:val="8"/>
        <w:shd w:val="clear"/>
        <w:adjustRightInd w:val="0"/>
        <w:ind w:firstLine="624"/>
        <w:rPr>
          <w:rFonts w:ascii="Arial" w:hAnsi="Arial" w:eastAsia="仿宋_GB2312" w:cs="Arial"/>
          <w:color w:val="auto"/>
          <w:sz w:val="28"/>
          <w:highlight w:val="none"/>
        </w:rPr>
      </w:pPr>
      <w:r>
        <w:rPr>
          <w:rFonts w:ascii="Arial" w:hAnsi="Arial" w:eastAsia="仿宋_GB2312" w:cs="Arial"/>
          <w:color w:val="auto"/>
          <w:sz w:val="28"/>
          <w:highlight w:val="none"/>
        </w:rPr>
        <w:t xml:space="preserve">单位公章：                       </w:t>
      </w:r>
    </w:p>
    <w:p>
      <w:pPr>
        <w:pStyle w:val="8"/>
        <w:shd w:val="clear"/>
        <w:adjustRightInd w:val="0"/>
        <w:ind w:firstLine="624"/>
        <w:rPr>
          <w:rFonts w:ascii="Arial" w:hAnsi="Arial" w:eastAsia="仿宋_GB2312" w:cs="Arial"/>
          <w:color w:val="auto"/>
          <w:sz w:val="28"/>
          <w:highlight w:val="none"/>
        </w:rPr>
      </w:pPr>
      <w:r>
        <w:rPr>
          <w:rFonts w:ascii="Arial" w:hAnsi="Arial" w:eastAsia="仿宋_GB2312" w:cs="Arial"/>
          <w:color w:val="auto"/>
          <w:sz w:val="28"/>
          <w:highlight w:val="none"/>
        </w:rPr>
        <w:t xml:space="preserve">法定代表人或授权代理人签字：                    </w:t>
      </w:r>
    </w:p>
    <w:p>
      <w:pPr>
        <w:shd w:val="clear"/>
        <w:autoSpaceDE w:val="0"/>
        <w:autoSpaceDN w:val="0"/>
        <w:adjustRightInd w:val="0"/>
        <w:ind w:firstLine="624"/>
        <w:jc w:val="left"/>
        <w:rPr>
          <w:rFonts w:ascii="Arial" w:hAnsi="Arial" w:eastAsia="仿宋_GB2312" w:cs="Arial"/>
          <w:color w:val="auto"/>
          <w:sz w:val="28"/>
          <w:highlight w:val="none"/>
        </w:rPr>
      </w:pPr>
      <w:r>
        <w:rPr>
          <w:rFonts w:hint="default" w:ascii="Arial" w:hAnsi="Arial" w:eastAsia="仿宋_GB2312" w:cs="Arial"/>
          <w:color w:val="auto"/>
          <w:sz w:val="28"/>
          <w:highlight w:val="none"/>
        </w:rPr>
        <w:t>日期：      年     月     日</w:t>
      </w:r>
    </w:p>
    <w:p>
      <w:pPr>
        <w:shd w:val="clear"/>
        <w:snapToGrid w:val="0"/>
        <w:spacing w:line="360" w:lineRule="auto"/>
        <w:outlineLvl w:val="1"/>
        <w:rPr>
          <w:rFonts w:ascii="Arial" w:hAnsi="Arial" w:eastAsia="仿宋_GB2312" w:cs="Arial"/>
          <w:color w:val="auto"/>
          <w:sz w:val="28"/>
          <w:highlight w:val="none"/>
        </w:rPr>
        <w:sectPr>
          <w:pgSz w:w="11906" w:h="16838"/>
          <w:pgMar w:top="1440" w:right="1800" w:bottom="1440" w:left="1800" w:header="851" w:footer="992" w:gutter="0"/>
          <w:cols w:space="720" w:num="1"/>
          <w:docGrid w:type="lines" w:linePitch="312" w:charSpace="0"/>
        </w:sectPr>
      </w:pPr>
    </w:p>
    <w:p>
      <w:pPr>
        <w:shd w:val="clear"/>
        <w:snapToGrid w:val="0"/>
        <w:spacing w:line="360" w:lineRule="auto"/>
        <w:outlineLvl w:val="1"/>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附件2：《投标人情况简介》</w:t>
      </w:r>
    </w:p>
    <w:p>
      <w:pPr>
        <w:pStyle w:val="8"/>
        <w:shd w:val="clear"/>
        <w:adjustRightInd w:val="0"/>
        <w:jc w:val="center"/>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投标人情况简介</w:t>
      </w:r>
    </w:p>
    <w:p>
      <w:pPr>
        <w:pStyle w:val="8"/>
        <w:shd w:val="clear"/>
        <w:adjustRightInd w:val="0"/>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1.名称和概况</w:t>
      </w:r>
    </w:p>
    <w:p>
      <w:pPr>
        <w:pStyle w:val="8"/>
        <w:shd w:val="clear"/>
        <w:adjustRightInd w:val="0"/>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投标人名称：</w:t>
      </w:r>
    </w:p>
    <w:p>
      <w:pPr>
        <w:pStyle w:val="8"/>
        <w:shd w:val="clear"/>
        <w:adjustRightInd w:val="0"/>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地址：邮编：</w:t>
      </w:r>
    </w:p>
    <w:p>
      <w:pPr>
        <w:pStyle w:val="8"/>
        <w:shd w:val="clear"/>
        <w:adjustRightInd w:val="0"/>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传真／电话：</w:t>
      </w:r>
    </w:p>
    <w:p>
      <w:pPr>
        <w:pStyle w:val="8"/>
        <w:shd w:val="clear"/>
        <w:adjustRightInd w:val="0"/>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成立日期或注册日期：</w:t>
      </w:r>
    </w:p>
    <w:p>
      <w:pPr>
        <w:pStyle w:val="8"/>
        <w:shd w:val="clear"/>
        <w:adjustRightInd w:val="0"/>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法定代表人或主要负责人姓名：</w:t>
      </w:r>
    </w:p>
    <w:p>
      <w:pPr>
        <w:pStyle w:val="8"/>
        <w:shd w:val="clear"/>
        <w:adjustRightInd w:val="0"/>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2．财务数据</w:t>
      </w:r>
    </w:p>
    <w:p>
      <w:pPr>
        <w:pStyle w:val="8"/>
        <w:shd w:val="clear"/>
        <w:adjustRightInd w:val="0"/>
        <w:rPr>
          <w:rFonts w:ascii="Arial" w:hAnsi="Arial" w:eastAsia="仿宋_GB2312" w:cs="Arial"/>
          <w:snapToGrid w:val="0"/>
          <w:color w:val="auto"/>
          <w:sz w:val="28"/>
          <w:szCs w:val="28"/>
          <w:highlight w:val="none"/>
          <w:u w:val="single"/>
        </w:rPr>
      </w:pPr>
      <w:r>
        <w:rPr>
          <w:rFonts w:ascii="Arial" w:hAnsi="Arial" w:eastAsia="仿宋_GB2312" w:cs="Arial"/>
          <w:snapToGrid w:val="0"/>
          <w:color w:val="auto"/>
          <w:sz w:val="28"/>
          <w:szCs w:val="28"/>
          <w:highlight w:val="none"/>
        </w:rPr>
        <w:t>注册资本：</w:t>
      </w:r>
    </w:p>
    <w:p>
      <w:pPr>
        <w:pStyle w:val="8"/>
        <w:shd w:val="clear"/>
        <w:adjustRightInd w:val="0"/>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3．业绩或服务的情况</w:t>
      </w:r>
    </w:p>
    <w:p>
      <w:pPr>
        <w:pStyle w:val="8"/>
        <w:shd w:val="clear"/>
        <w:adjustRightInd w:val="0"/>
        <w:rPr>
          <w:rFonts w:ascii="Arial" w:hAnsi="Arial" w:eastAsia="仿宋_GB2312" w:cs="Arial"/>
          <w:snapToGrid w:val="0"/>
          <w:color w:val="auto"/>
          <w:sz w:val="28"/>
          <w:szCs w:val="28"/>
          <w:highlight w:val="none"/>
        </w:rPr>
      </w:pPr>
      <w:r>
        <w:rPr>
          <w:rFonts w:hint="eastAsia" w:ascii="Arial" w:hAnsi="Arial" w:eastAsia="仿宋_GB2312" w:cs="Arial"/>
          <w:snapToGrid w:val="0"/>
          <w:color w:val="auto"/>
          <w:sz w:val="28"/>
          <w:szCs w:val="28"/>
          <w:highlight w:val="none"/>
          <w:lang w:val="en-US" w:eastAsia="zh-CN"/>
        </w:rPr>
        <w:t>2023</w:t>
      </w:r>
      <w:r>
        <w:rPr>
          <w:rFonts w:ascii="Arial" w:hAnsi="Arial" w:eastAsia="仿宋_GB2312" w:cs="Arial"/>
          <w:snapToGrid w:val="0"/>
          <w:color w:val="auto"/>
          <w:sz w:val="28"/>
          <w:szCs w:val="28"/>
          <w:highlight w:val="none"/>
        </w:rPr>
        <w:t xml:space="preserve">年至今国内外主要用户的名称和地址： </w:t>
      </w:r>
    </w:p>
    <w:p>
      <w:pPr>
        <w:pStyle w:val="8"/>
        <w:shd w:val="clear"/>
        <w:tabs>
          <w:tab w:val="left" w:pos="360"/>
        </w:tabs>
        <w:adjustRightInd w:val="0"/>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本次投标或服务在国内金融行业的应用情况（如有的话）：</w:t>
      </w:r>
    </w:p>
    <w:p>
      <w:pPr>
        <w:pStyle w:val="8"/>
        <w:shd w:val="clear"/>
        <w:tabs>
          <w:tab w:val="left" w:pos="0"/>
        </w:tabs>
        <w:adjustRightInd w:val="0"/>
        <w:rPr>
          <w:rFonts w:ascii="Arial" w:hAnsi="Arial" w:eastAsia="仿宋_GB2312" w:cs="Arial"/>
          <w:snapToGrid w:val="0"/>
          <w:color w:val="auto"/>
          <w:sz w:val="28"/>
          <w:szCs w:val="28"/>
          <w:highlight w:val="none"/>
        </w:rPr>
      </w:pPr>
      <w:r>
        <w:rPr>
          <w:rFonts w:ascii="Arial" w:hAnsi="Arial" w:eastAsia="仿宋_GB2312" w:cs="Arial"/>
          <w:snapToGrid w:val="0"/>
          <w:color w:val="auto"/>
          <w:sz w:val="28"/>
          <w:szCs w:val="28"/>
          <w:highlight w:val="none"/>
        </w:rPr>
        <w:t>4.</w:t>
      </w:r>
      <w:r>
        <w:rPr>
          <w:rFonts w:hint="eastAsia" w:ascii="Arial" w:hAnsi="Arial" w:eastAsia="仿宋_GB2312" w:cs="Arial"/>
          <w:snapToGrid w:val="0"/>
          <w:color w:val="auto"/>
          <w:sz w:val="28"/>
          <w:szCs w:val="28"/>
          <w:highlight w:val="none"/>
          <w:lang w:val="en-US" w:eastAsia="zh-CN"/>
        </w:rPr>
        <w:t>2023</w:t>
      </w:r>
      <w:r>
        <w:rPr>
          <w:rFonts w:ascii="Arial" w:hAnsi="Arial" w:eastAsia="仿宋_GB2312" w:cs="Arial"/>
          <w:snapToGrid w:val="0"/>
          <w:color w:val="auto"/>
          <w:sz w:val="28"/>
          <w:szCs w:val="28"/>
          <w:highlight w:val="none"/>
        </w:rPr>
        <w:t>年至今投标人是否受到过监管机关的处罚？是否有重大涉诉法律纠纷？如有，请列明原因及相关情况。</w:t>
      </w:r>
    </w:p>
    <w:p>
      <w:pPr>
        <w:pStyle w:val="8"/>
        <w:shd w:val="clear"/>
        <w:tabs>
          <w:tab w:val="left" w:pos="360"/>
        </w:tabs>
        <w:adjustRightInd w:val="0"/>
        <w:rPr>
          <w:rFonts w:ascii="Arial" w:hAnsi="Arial" w:eastAsia="仿宋_GB2312" w:cs="Arial"/>
          <w:snapToGrid w:val="0"/>
          <w:color w:val="auto"/>
          <w:sz w:val="28"/>
          <w:szCs w:val="28"/>
          <w:highlight w:val="none"/>
          <w:u w:val="single"/>
        </w:rPr>
      </w:pPr>
      <w:r>
        <w:rPr>
          <w:rFonts w:ascii="Arial" w:hAnsi="Arial" w:eastAsia="仿宋_GB2312" w:cs="Arial"/>
          <w:snapToGrid w:val="0"/>
          <w:color w:val="auto"/>
          <w:sz w:val="28"/>
          <w:szCs w:val="28"/>
          <w:highlight w:val="none"/>
        </w:rPr>
        <w:t>5.所属集团（如有的话）：</w:t>
      </w:r>
    </w:p>
    <w:p>
      <w:pPr>
        <w:pStyle w:val="8"/>
        <w:shd w:val="clear"/>
        <w:tabs>
          <w:tab w:val="left" w:pos="360"/>
        </w:tabs>
        <w:adjustRightInd w:val="0"/>
        <w:rPr>
          <w:rFonts w:ascii="Arial" w:hAnsi="Arial" w:eastAsia="仿宋_GB2312" w:cs="Arial"/>
          <w:snapToGrid w:val="0"/>
          <w:color w:val="auto"/>
          <w:sz w:val="28"/>
          <w:szCs w:val="28"/>
          <w:highlight w:val="none"/>
        </w:rPr>
      </w:pPr>
      <w:r>
        <w:rPr>
          <w:rFonts w:hint="default" w:ascii="Arial" w:hAnsi="Arial" w:eastAsia="仿宋_GB2312" w:cs="Arial"/>
          <w:snapToGrid w:val="0"/>
          <w:color w:val="auto"/>
          <w:sz w:val="28"/>
          <w:szCs w:val="28"/>
          <w:highlight w:val="none"/>
        </w:rPr>
        <w:t>6.其它情况</w:t>
      </w:r>
      <w:r>
        <w:rPr>
          <w:rFonts w:ascii="Arial" w:hAnsi="Arial" w:eastAsia="仿宋_GB2312" w:cs="Arial"/>
          <w:snapToGrid w:val="0"/>
          <w:color w:val="auto"/>
          <w:sz w:val="28"/>
          <w:szCs w:val="28"/>
          <w:highlight w:val="none"/>
        </w:rPr>
        <w:t>（组织、机构、技术力量、参与本产品的实施人员情况等）</w:t>
      </w:r>
    </w:p>
    <w:p>
      <w:pPr>
        <w:shd w:val="clear"/>
        <w:snapToGrid w:val="0"/>
        <w:spacing w:line="360" w:lineRule="auto"/>
        <w:outlineLvl w:val="1"/>
        <w:rPr>
          <w:rFonts w:ascii="Arial" w:hAnsi="Arial" w:eastAsia="仿宋_GB2312" w:cs="Arial"/>
          <w:color w:val="auto"/>
          <w:sz w:val="28"/>
          <w:szCs w:val="28"/>
          <w:highlight w:val="none"/>
        </w:rPr>
        <w:sectPr>
          <w:pgSz w:w="11906" w:h="16838"/>
          <w:pgMar w:top="1440" w:right="1800" w:bottom="1440" w:left="1800" w:header="851" w:footer="992" w:gutter="0"/>
          <w:cols w:space="720" w:num="1"/>
          <w:docGrid w:type="lines" w:linePitch="312" w:charSpace="0"/>
        </w:sectPr>
      </w:pPr>
    </w:p>
    <w:p>
      <w:pPr>
        <w:shd w:val="clear"/>
        <w:snapToGrid w:val="0"/>
        <w:spacing w:line="360" w:lineRule="auto"/>
        <w:outlineLvl w:val="1"/>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附件3：《法定代表人委托书》</w:t>
      </w:r>
    </w:p>
    <w:p>
      <w:pPr>
        <w:shd w:val="clear"/>
        <w:tabs>
          <w:tab w:val="left" w:pos="8280"/>
        </w:tabs>
        <w:spacing w:line="360" w:lineRule="auto"/>
        <w:rPr>
          <w:rFonts w:ascii="Arial" w:hAnsi="Arial" w:eastAsia="仿宋_GB2312" w:cs="Arial"/>
          <w:color w:val="auto"/>
          <w:sz w:val="28"/>
          <w:szCs w:val="28"/>
          <w:highlight w:val="none"/>
        </w:rPr>
      </w:pPr>
      <w:r>
        <w:rPr>
          <w:rFonts w:hint="default" w:ascii="Arial" w:hAnsi="Arial" w:eastAsia="仿宋_GB2312" w:cs="Arial"/>
          <w:snapToGrid w:val="0"/>
          <w:color w:val="auto"/>
          <w:sz w:val="28"/>
          <w:highlight w:val="none"/>
        </w:rPr>
        <w:t>江苏昆山农村商业银行股份有限公司</w:t>
      </w:r>
      <w:r>
        <w:rPr>
          <w:rFonts w:hint="default" w:ascii="Arial" w:hAnsi="Arial" w:eastAsia="仿宋_GB2312" w:cs="Arial"/>
          <w:color w:val="auto"/>
          <w:sz w:val="28"/>
          <w:szCs w:val="28"/>
          <w:highlight w:val="none"/>
        </w:rPr>
        <w:t>：</w:t>
      </w:r>
    </w:p>
    <w:p>
      <w:pPr>
        <w:shd w:val="clear"/>
        <w:tabs>
          <w:tab w:val="left" w:pos="8280"/>
        </w:tabs>
        <w:spacing w:line="360" w:lineRule="auto"/>
        <w:ind w:firstLine="48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 兹委托</w:t>
      </w:r>
      <w:r>
        <w:rPr>
          <w:rFonts w:hint="default" w:ascii="Arial" w:hAnsi="Arial" w:eastAsia="仿宋_GB2312" w:cs="Arial"/>
          <w:color w:val="auto"/>
          <w:sz w:val="28"/>
          <w:szCs w:val="28"/>
          <w:highlight w:val="none"/>
          <w:u w:val="single"/>
        </w:rPr>
        <w:t xml:space="preserve">         (代理人姓名)</w:t>
      </w:r>
      <w:r>
        <w:rPr>
          <w:rFonts w:hint="default" w:ascii="Arial" w:hAnsi="Arial" w:eastAsia="仿宋_GB2312" w:cs="Arial"/>
          <w:color w:val="auto"/>
          <w:sz w:val="28"/>
          <w:szCs w:val="28"/>
          <w:highlight w:val="none"/>
        </w:rPr>
        <w:t>参加贵单位组织的招标活动，全权代表我单位处理投标的有关事宜。</w:t>
      </w:r>
    </w:p>
    <w:p>
      <w:pPr>
        <w:shd w:val="clear"/>
        <w:tabs>
          <w:tab w:val="left" w:pos="8280"/>
        </w:tabs>
        <w:spacing w:line="360" w:lineRule="auto"/>
        <w:ind w:firstLine="48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 附全权代表情况：</w:t>
      </w:r>
    </w:p>
    <w:p>
      <w:pPr>
        <w:shd w:val="clear"/>
        <w:tabs>
          <w:tab w:val="left" w:pos="8280"/>
        </w:tabs>
        <w:spacing w:line="360" w:lineRule="auto"/>
        <w:ind w:firstLine="480"/>
        <w:rPr>
          <w:rFonts w:ascii="Arial" w:hAnsi="Arial" w:eastAsia="仿宋_GB2312" w:cs="Arial"/>
          <w:color w:val="auto"/>
          <w:sz w:val="28"/>
          <w:szCs w:val="28"/>
          <w:highlight w:val="none"/>
          <w:u w:val="single"/>
        </w:rPr>
      </w:pPr>
      <w:r>
        <w:rPr>
          <w:rFonts w:hint="default" w:ascii="Arial" w:hAnsi="Arial" w:eastAsia="仿宋_GB2312" w:cs="Arial"/>
          <w:color w:val="auto"/>
          <w:sz w:val="28"/>
          <w:szCs w:val="28"/>
          <w:highlight w:val="none"/>
        </w:rPr>
        <w:t xml:space="preserve"> 姓名： 性别：年龄：职务：</w:t>
      </w:r>
    </w:p>
    <w:p>
      <w:pPr>
        <w:shd w:val="clear"/>
        <w:tabs>
          <w:tab w:val="left" w:pos="8280"/>
        </w:tabs>
        <w:spacing w:line="360" w:lineRule="auto"/>
        <w:ind w:firstLine="48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 身份证号码：</w:t>
      </w:r>
    </w:p>
    <w:p>
      <w:pPr>
        <w:shd w:val="clear"/>
        <w:tabs>
          <w:tab w:val="left" w:pos="8280"/>
        </w:tabs>
        <w:spacing w:line="360" w:lineRule="auto"/>
        <w:ind w:firstLine="48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 详细通讯地址： </w:t>
      </w:r>
    </w:p>
    <w:p>
      <w:pPr>
        <w:shd w:val="clear"/>
        <w:tabs>
          <w:tab w:val="left" w:pos="8280"/>
        </w:tabs>
        <w:spacing w:line="360" w:lineRule="auto"/>
        <w:ind w:firstLine="48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 电话：传真：</w:t>
      </w:r>
    </w:p>
    <w:p>
      <w:pPr>
        <w:shd w:val="clear"/>
        <w:tabs>
          <w:tab w:val="left" w:pos="8280"/>
        </w:tabs>
        <w:spacing w:line="360" w:lineRule="auto"/>
        <w:ind w:firstLine="48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 邮政编码：</w:t>
      </w:r>
    </w:p>
    <w:p>
      <w:pPr>
        <w:shd w:val="clear"/>
        <w:tabs>
          <w:tab w:val="left" w:pos="8280"/>
        </w:tabs>
        <w:spacing w:line="360" w:lineRule="auto"/>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    单位名称（公章）                        法定代表人（签字）</w:t>
      </w:r>
    </w:p>
    <w:p>
      <w:pPr>
        <w:shd w:val="clear"/>
        <w:tabs>
          <w:tab w:val="left" w:pos="8280"/>
        </w:tabs>
        <w:spacing w:line="360" w:lineRule="auto"/>
        <w:ind w:firstLine="57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    年   月   日                         年   月    日     </w:t>
      </w:r>
    </w:p>
    <w:p>
      <w:pPr>
        <w:shd w:val="clear"/>
        <w:tabs>
          <w:tab w:val="left" w:pos="8280"/>
        </w:tabs>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（说明：法定代表人参加投标，不用此委托书）</w:t>
      </w:r>
    </w:p>
    <w:p>
      <w:pPr>
        <w:shd w:val="clear"/>
        <w:rPr>
          <w:rFonts w:ascii="Arial" w:hAnsi="Arial" w:cs="Arial"/>
          <w:color w:val="auto"/>
          <w:highlight w:val="none"/>
        </w:rPr>
        <w:sectPr>
          <w:pgSz w:w="11906" w:h="16838"/>
          <w:pgMar w:top="1440" w:right="1800" w:bottom="1440" w:left="1800" w:header="851" w:footer="992" w:gutter="0"/>
          <w:cols w:space="720" w:num="1"/>
          <w:docGrid w:type="lines" w:linePitch="312" w:charSpace="0"/>
        </w:sectPr>
      </w:pPr>
    </w:p>
    <w:p>
      <w:pPr>
        <w:shd w:val="clear"/>
        <w:snapToGrid w:val="0"/>
        <w:spacing w:line="360" w:lineRule="auto"/>
        <w:outlineLvl w:val="1"/>
        <w:rPr>
          <w:rFonts w:ascii="Arial" w:hAnsi="Arial" w:eastAsia="仿宋_GB2312" w:cs="Arial"/>
          <w:b/>
          <w:color w:val="auto"/>
          <w:sz w:val="30"/>
          <w:szCs w:val="30"/>
          <w:highlight w:val="none"/>
          <w:u w:val="single"/>
        </w:rPr>
      </w:pPr>
      <w:r>
        <w:rPr>
          <w:rFonts w:hint="default" w:ascii="Arial" w:hAnsi="Arial" w:eastAsia="仿宋_GB2312" w:cs="Arial"/>
          <w:color w:val="auto"/>
          <w:sz w:val="28"/>
          <w:szCs w:val="28"/>
          <w:highlight w:val="none"/>
        </w:rPr>
        <w:t>附件4：《投标价格一览表》</w:t>
      </w:r>
      <w:r>
        <w:rPr>
          <w:rFonts w:hint="default" w:ascii="Arial" w:hAnsi="Arial" w:eastAsia="仿宋" w:cs="Arial"/>
          <w:color w:val="auto"/>
          <w:sz w:val="28"/>
          <w:szCs w:val="28"/>
          <w:highlight w:val="none"/>
        </w:rPr>
        <w:t xml:space="preserve"> </w:t>
      </w:r>
    </w:p>
    <w:p>
      <w:pPr>
        <w:shd w:val="clear"/>
        <w:jc w:val="center"/>
        <w:rPr>
          <w:rFonts w:ascii="Arial" w:hAnsi="Arial" w:eastAsia="仿宋_GB2312" w:cs="Arial"/>
          <w:b/>
          <w:color w:val="auto"/>
          <w:sz w:val="32"/>
          <w:szCs w:val="28"/>
          <w:highlight w:val="none"/>
        </w:rPr>
      </w:pPr>
      <w:r>
        <w:rPr>
          <w:rFonts w:hint="default" w:ascii="Arial" w:hAnsi="Arial" w:eastAsia="仿宋_GB2312" w:cs="Arial"/>
          <w:b/>
          <w:color w:val="auto"/>
          <w:sz w:val="32"/>
          <w:szCs w:val="28"/>
          <w:highlight w:val="none"/>
        </w:rPr>
        <w:t>投标价格一览表</w:t>
      </w:r>
    </w:p>
    <w:p>
      <w:pPr>
        <w:shd w:val="clear"/>
        <w:rPr>
          <w:rFonts w:ascii="Arial" w:hAnsi="Arial" w:eastAsia="仿宋_GB2312" w:cs="Arial"/>
          <w:color w:val="auto"/>
          <w:sz w:val="28"/>
          <w:szCs w:val="28"/>
          <w:highlight w:val="none"/>
          <w:u w:val="single"/>
        </w:rPr>
      </w:pPr>
      <w:r>
        <w:rPr>
          <w:rFonts w:hint="default" w:ascii="Arial" w:hAnsi="Arial" w:eastAsia="仿宋_GB2312" w:cs="Arial"/>
          <w:color w:val="auto"/>
          <w:sz w:val="28"/>
          <w:szCs w:val="28"/>
          <w:highlight w:val="none"/>
        </w:rPr>
        <w:t>1、投标单位名称：</w:t>
      </w:r>
      <w:r>
        <w:rPr>
          <w:rFonts w:hint="default" w:ascii="Arial" w:hAnsi="Arial" w:eastAsia="仿宋_GB2312" w:cs="Arial"/>
          <w:color w:val="auto"/>
          <w:sz w:val="28"/>
          <w:szCs w:val="28"/>
          <w:highlight w:val="none"/>
          <w:u w:val="single"/>
        </w:rPr>
        <w:t xml:space="preserve">                               </w:t>
      </w:r>
    </w:p>
    <w:p>
      <w:pPr>
        <w:shd w:val="clear"/>
        <w:rPr>
          <w:rFonts w:ascii="Arial" w:hAnsi="Arial" w:eastAsia="仿宋_GB2312" w:cs="Arial"/>
          <w:b/>
          <w:color w:val="auto"/>
          <w:sz w:val="28"/>
          <w:szCs w:val="28"/>
          <w:highlight w:val="none"/>
          <w:u w:val="single"/>
        </w:rPr>
      </w:pPr>
      <w:r>
        <w:rPr>
          <w:rFonts w:hint="default" w:ascii="Arial" w:hAnsi="Arial" w:eastAsia="仿宋_GB2312" w:cs="Arial"/>
          <w:color w:val="auto"/>
          <w:sz w:val="28"/>
          <w:szCs w:val="28"/>
          <w:highlight w:val="none"/>
        </w:rPr>
        <w:t>2、投标项目名称：</w:t>
      </w:r>
      <w:r>
        <w:rPr>
          <w:rFonts w:hint="default" w:ascii="Arial" w:hAnsi="Arial" w:eastAsia="仿宋_GB2312" w:cs="Arial"/>
          <w:color w:val="auto"/>
          <w:sz w:val="28"/>
          <w:szCs w:val="28"/>
          <w:highlight w:val="none"/>
          <w:u w:val="single"/>
        </w:rPr>
        <w:t xml:space="preserve">                               </w:t>
      </w:r>
    </w:p>
    <w:p>
      <w:pPr>
        <w:shd w:val="clear"/>
        <w:rPr>
          <w:rFonts w:ascii="Arial" w:hAnsi="Arial" w:eastAsia="仿宋_GB2312" w:cs="Arial"/>
          <w:b/>
          <w:color w:val="auto"/>
          <w:sz w:val="28"/>
          <w:szCs w:val="28"/>
          <w:highlight w:val="none"/>
          <w:u w:val="single"/>
        </w:rPr>
      </w:pPr>
      <w:r>
        <w:rPr>
          <w:rFonts w:hint="default" w:ascii="Arial" w:hAnsi="Arial" w:eastAsia="仿宋_GB2312" w:cs="Arial"/>
          <w:color w:val="auto"/>
          <w:sz w:val="28"/>
          <w:szCs w:val="28"/>
          <w:highlight w:val="none"/>
        </w:rPr>
        <w:t>3、本项目报价：（大写）人民币</w:t>
      </w:r>
      <w:r>
        <w:rPr>
          <w:rFonts w:hint="default" w:ascii="Arial" w:hAnsi="Arial" w:eastAsia="仿宋_GB2312" w:cs="Arial"/>
          <w:color w:val="auto"/>
          <w:sz w:val="28"/>
          <w:szCs w:val="28"/>
          <w:highlight w:val="none"/>
          <w:u w:val="single"/>
        </w:rPr>
        <w:t xml:space="preserve">                   </w:t>
      </w:r>
    </w:p>
    <w:p>
      <w:pPr>
        <w:shd w:val="clear"/>
        <w:adjustRightInd w:val="0"/>
        <w:spacing w:line="640" w:lineRule="exact"/>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                （小写）¥ </w:t>
      </w:r>
      <w:r>
        <w:rPr>
          <w:rFonts w:hint="default" w:ascii="Arial" w:hAnsi="Arial" w:eastAsia="仿宋_GB2312" w:cs="Arial"/>
          <w:color w:val="auto"/>
          <w:sz w:val="28"/>
          <w:szCs w:val="28"/>
          <w:highlight w:val="none"/>
          <w:u w:val="single"/>
        </w:rPr>
        <w:t xml:space="preserve">                        </w:t>
      </w:r>
    </w:p>
    <w:p>
      <w:pPr>
        <w:shd w:val="clear"/>
        <w:adjustRightInd w:val="0"/>
        <w:spacing w:line="640" w:lineRule="exact"/>
        <w:rPr>
          <w:rFonts w:hint="default" w:ascii="Arial" w:hAnsi="Arial" w:eastAsia="仿宋_GB2312" w:cs="Arial"/>
          <w:color w:val="auto"/>
          <w:sz w:val="28"/>
          <w:szCs w:val="28"/>
          <w:highlight w:val="none"/>
        </w:rPr>
      </w:pPr>
      <w:r>
        <w:rPr>
          <w:rFonts w:hint="default" w:ascii="Arial" w:hAnsi="Arial" w:eastAsia="仿宋_GB2312" w:cs="Arial"/>
          <w:color w:val="auto"/>
          <w:sz w:val="28"/>
          <w:szCs w:val="28"/>
          <w:highlight w:val="none"/>
        </w:rPr>
        <w:t>4、 付款方式：</w:t>
      </w:r>
    </w:p>
    <w:p>
      <w:pPr>
        <w:keepNext w:val="0"/>
        <w:keepLines w:val="0"/>
        <w:pageBreakBefore w:val="0"/>
        <w:widowControl w:val="0"/>
        <w:shd w:val="clear"/>
        <w:kinsoku/>
        <w:wordWrap/>
        <w:overflowPunct/>
        <w:topLinePunct w:val="0"/>
        <w:autoSpaceDE/>
        <w:autoSpaceDN/>
        <w:bidi w:val="0"/>
        <w:adjustRightInd w:val="0"/>
        <w:snapToGrid/>
        <w:spacing w:line="640" w:lineRule="exact"/>
        <w:ind w:firstLine="560" w:firstLineChars="200"/>
        <w:textAlignment w:val="auto"/>
        <w:rPr>
          <w:rFonts w:ascii="Arial" w:hAnsi="Arial" w:eastAsia="仿宋_GB2312" w:cs="Arial"/>
          <w:color w:val="auto"/>
          <w:sz w:val="28"/>
          <w:szCs w:val="28"/>
          <w:highlight w:val="none"/>
        </w:rPr>
      </w:pPr>
      <w:r>
        <w:rPr>
          <w:rFonts w:hint="eastAsia" w:ascii="仿宋" w:hAnsi="仿宋" w:eastAsia="仿宋" w:cs="仿宋"/>
          <w:snapToGrid w:val="0"/>
          <w:color w:val="auto"/>
          <w:sz w:val="28"/>
          <w:szCs w:val="28"/>
          <w:highlight w:val="none"/>
        </w:rPr>
        <w:t>合同签订后30个工作日内支付合同总金额的20％；</w:t>
      </w:r>
      <w:r>
        <w:rPr>
          <w:rFonts w:hint="eastAsia" w:ascii="仿宋" w:hAnsi="仿宋" w:eastAsia="仿宋" w:cs="仿宋"/>
          <w:snapToGrid w:val="0"/>
          <w:color w:val="auto"/>
          <w:sz w:val="28"/>
          <w:szCs w:val="28"/>
          <w:highlight w:val="none"/>
          <w:lang w:val="en-US" w:eastAsia="zh-CN"/>
        </w:rPr>
        <w:t>完成复评咨询</w:t>
      </w:r>
      <w:r>
        <w:rPr>
          <w:rFonts w:hint="eastAsia" w:ascii="仿宋" w:hAnsi="仿宋" w:eastAsia="仿宋" w:cs="仿宋"/>
          <w:snapToGrid w:val="0"/>
          <w:color w:val="auto"/>
          <w:sz w:val="28"/>
          <w:szCs w:val="28"/>
          <w:highlight w:val="none"/>
        </w:rPr>
        <w:t>后30个工作日内支付合同总金额的70％，</w:t>
      </w:r>
      <w:r>
        <w:rPr>
          <w:rFonts w:hint="eastAsia" w:ascii="仿宋" w:hAnsi="仿宋" w:eastAsia="仿宋" w:cs="仿宋"/>
          <w:color w:val="auto"/>
          <w:kern w:val="0"/>
          <w:sz w:val="28"/>
          <w:szCs w:val="28"/>
          <w:highlight w:val="none"/>
        </w:rPr>
        <w:t>合同约定的项目实施并验收合格之日起一年后30个工作日内支付</w:t>
      </w:r>
      <w:r>
        <w:rPr>
          <w:rFonts w:hint="eastAsia" w:ascii="仿宋" w:hAnsi="仿宋" w:eastAsia="仿宋" w:cs="仿宋"/>
          <w:snapToGrid w:val="0"/>
          <w:color w:val="auto"/>
          <w:sz w:val="28"/>
          <w:szCs w:val="28"/>
          <w:highlight w:val="none"/>
        </w:rPr>
        <w:t>合同总金额的</w:t>
      </w:r>
      <w:r>
        <w:rPr>
          <w:rFonts w:hint="eastAsia" w:ascii="仿宋" w:hAnsi="仿宋" w:eastAsia="仿宋" w:cs="仿宋"/>
          <w:color w:val="auto"/>
          <w:kern w:val="0"/>
          <w:sz w:val="28"/>
          <w:szCs w:val="28"/>
          <w:highlight w:val="none"/>
        </w:rPr>
        <w:t>10％。</w:t>
      </w:r>
    </w:p>
    <w:p>
      <w:pPr>
        <w:shd w:val="clear"/>
        <w:adjustRightInd w:val="0"/>
        <w:spacing w:line="640" w:lineRule="exact"/>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5、其他优惠条件（如有请列明）</w:t>
      </w:r>
    </w:p>
    <w:p>
      <w:pPr>
        <w:shd w:val="clear"/>
        <w:adjustRightInd w:val="0"/>
        <w:spacing w:line="640" w:lineRule="exact"/>
        <w:rPr>
          <w:rFonts w:ascii="Arial" w:hAnsi="Arial" w:eastAsia="仿宋_GB2312" w:cs="Arial"/>
          <w:snapToGrid w:val="0"/>
          <w:color w:val="auto"/>
          <w:sz w:val="28"/>
          <w:szCs w:val="28"/>
          <w:highlight w:val="none"/>
        </w:rPr>
      </w:pPr>
    </w:p>
    <w:p>
      <w:pPr>
        <w:shd w:val="clear"/>
        <w:adjustRightInd w:val="0"/>
        <w:spacing w:line="640" w:lineRule="exact"/>
        <w:rPr>
          <w:rFonts w:ascii="Arial" w:hAnsi="Arial" w:eastAsia="仿宋_GB2312" w:cs="Arial"/>
          <w:snapToGrid w:val="0"/>
          <w:color w:val="auto"/>
          <w:sz w:val="28"/>
          <w:szCs w:val="28"/>
          <w:highlight w:val="none"/>
        </w:rPr>
      </w:pPr>
    </w:p>
    <w:p>
      <w:pPr>
        <w:shd w:val="clear"/>
        <w:adjustRightInd w:val="0"/>
        <w:spacing w:line="640" w:lineRule="exact"/>
        <w:rPr>
          <w:rFonts w:ascii="Arial" w:hAnsi="Arial" w:eastAsia="仿宋_GB2312" w:cs="Arial"/>
          <w:snapToGrid w:val="0"/>
          <w:color w:val="auto"/>
          <w:sz w:val="28"/>
          <w:szCs w:val="28"/>
          <w:highlight w:val="none"/>
        </w:rPr>
      </w:pPr>
    </w:p>
    <w:p>
      <w:pPr>
        <w:shd w:val="clea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p>
      <w:pPr>
        <w:pStyle w:val="24"/>
        <w:shd w:val="clear"/>
        <w:spacing w:line="360" w:lineRule="auto"/>
        <w:ind w:firstLine="482"/>
        <w:jc w:val="left"/>
        <w:rPr>
          <w:rFonts w:hint="eastAsia" w:ascii="仿宋" w:hAnsi="仿宋" w:eastAsia="仿宋" w:cs="仿宋"/>
          <w:b/>
          <w:color w:val="auto"/>
          <w:highlight w:val="none"/>
        </w:rPr>
      </w:pPr>
      <w:r>
        <w:rPr>
          <w:rFonts w:hint="eastAsia" w:ascii="仿宋" w:hAnsi="仿宋" w:eastAsia="仿宋" w:cs="仿宋"/>
          <w:b/>
          <w:color w:val="auto"/>
          <w:highlight w:val="none"/>
        </w:rPr>
        <w:t>本次报价包含本项目所有费用及供应商为项目实施而支付的交通、食宿、通讯、税费等全部费用，昆山农商银行不再另外支付与本项目有关的其他费用。</w:t>
      </w:r>
    </w:p>
    <w:p>
      <w:pPr>
        <w:pStyle w:val="24"/>
        <w:shd w:val="clear"/>
        <w:spacing w:line="360" w:lineRule="auto"/>
        <w:ind w:firstLine="482"/>
        <w:jc w:val="left"/>
        <w:rPr>
          <w:rFonts w:ascii="Arial" w:hAnsi="Arial" w:eastAsia="黑体" w:cs="Arial"/>
          <w:b/>
          <w:color w:val="auto"/>
          <w:sz w:val="24"/>
          <w:szCs w:val="24"/>
          <w:highlight w:val="none"/>
        </w:rPr>
      </w:pPr>
      <w:r>
        <w:rPr>
          <w:rFonts w:hint="eastAsia" w:ascii="仿宋" w:hAnsi="仿宋" w:eastAsia="仿宋" w:cs="仿宋"/>
          <w:b/>
          <w:color w:val="auto"/>
          <w:sz w:val="24"/>
          <w:szCs w:val="24"/>
          <w:highlight w:val="none"/>
        </w:rPr>
        <w:t>（本表内未明确列述的项目费用应视为包括在项目费用总额之内）</w:t>
      </w:r>
    </w:p>
    <w:p>
      <w:pPr>
        <w:shd w:val="clear"/>
        <w:ind w:left="1526" w:hanging="1526"/>
        <w:rPr>
          <w:rFonts w:ascii="Arial" w:hAnsi="Arial" w:eastAsia="黑体" w:cs="Arial"/>
          <w:b/>
          <w:color w:val="auto"/>
          <w:sz w:val="24"/>
          <w:szCs w:val="24"/>
          <w:highlight w:val="none"/>
        </w:rPr>
      </w:pPr>
    </w:p>
    <w:p>
      <w:pPr>
        <w:shd w:val="clear"/>
        <w:ind w:left="1526" w:hanging="1526"/>
        <w:rPr>
          <w:rFonts w:ascii="Arial" w:hAnsi="Arial" w:eastAsia="黑体" w:cs="Arial"/>
          <w:b/>
          <w:color w:val="auto"/>
          <w:sz w:val="24"/>
          <w:szCs w:val="24"/>
          <w:highlight w:val="none"/>
        </w:rPr>
      </w:pPr>
    </w:p>
    <w:p>
      <w:pPr>
        <w:shd w:val="clear"/>
        <w:ind w:left="1526" w:hanging="1526"/>
        <w:rPr>
          <w:rFonts w:ascii="Arial" w:hAnsi="Arial" w:eastAsia="黑体" w:cs="Arial"/>
          <w:b/>
          <w:color w:val="auto"/>
          <w:sz w:val="28"/>
          <w:szCs w:val="28"/>
          <w:highlight w:val="none"/>
        </w:rPr>
      </w:pPr>
    </w:p>
    <w:p>
      <w:pPr>
        <w:shd w:val="clear"/>
        <w:adjustRightInd w:val="0"/>
        <w:spacing w:line="500" w:lineRule="exact"/>
        <w:rPr>
          <w:rFonts w:ascii="Arial" w:hAnsi="Arial" w:eastAsia="仿宋_GB2312" w:cs="Arial"/>
          <w:snapToGrid w:val="0"/>
          <w:color w:val="auto"/>
          <w:sz w:val="28"/>
          <w:szCs w:val="28"/>
          <w:highlight w:val="none"/>
        </w:rPr>
      </w:pPr>
      <w:r>
        <w:rPr>
          <w:rFonts w:hint="default" w:ascii="Arial" w:hAnsi="Arial" w:eastAsia="仿宋_GB2312" w:cs="Arial"/>
          <w:snapToGrid w:val="0"/>
          <w:color w:val="auto"/>
          <w:sz w:val="28"/>
          <w:szCs w:val="28"/>
          <w:highlight w:val="none"/>
        </w:rPr>
        <w:t>公司盖章：</w:t>
      </w:r>
    </w:p>
    <w:p>
      <w:pPr>
        <w:shd w:val="clear"/>
        <w:autoSpaceDE w:val="0"/>
        <w:autoSpaceDN w:val="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法定代表人或其授权的代表签字：                 </w:t>
      </w:r>
    </w:p>
    <w:p>
      <w:pPr>
        <w:shd w:val="clear"/>
        <w:ind w:left="1526" w:hanging="1526"/>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日 期：    </w:t>
      </w:r>
    </w:p>
    <w:p>
      <w:pPr>
        <w:shd w:val="clear"/>
        <w:ind w:left="1526" w:hanging="1526"/>
        <w:rPr>
          <w:rFonts w:ascii="Arial" w:hAnsi="Arial" w:eastAsia="仿宋_GB2312" w:cs="Arial"/>
          <w:color w:val="auto"/>
          <w:sz w:val="28"/>
          <w:szCs w:val="28"/>
          <w:highlight w:val="none"/>
        </w:rPr>
      </w:pPr>
    </w:p>
    <w:p>
      <w:pPr>
        <w:widowControl/>
        <w:shd w:val="clear"/>
        <w:jc w:val="left"/>
        <w:rPr>
          <w:rFonts w:ascii="Arial" w:hAnsi="Arial" w:cs="Arial"/>
          <w:color w:val="auto"/>
          <w:highlight w:val="none"/>
        </w:rPr>
      </w:pPr>
      <w:r>
        <w:rPr>
          <w:rFonts w:ascii="Arial" w:hAnsi="Arial" w:cs="Arial"/>
          <w:color w:val="auto"/>
          <w:highlight w:val="none"/>
        </w:rPr>
        <w:br w:type="page"/>
      </w:r>
    </w:p>
    <w:p>
      <w:pPr>
        <w:shd w:val="clear"/>
        <w:snapToGrid w:val="0"/>
        <w:spacing w:line="360" w:lineRule="auto"/>
        <w:outlineLvl w:val="1"/>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附件5：拟签订的合同文本</w:t>
      </w:r>
    </w:p>
    <w:p>
      <w:pPr>
        <w:shd w:val="clear"/>
        <w:spacing w:line="360" w:lineRule="auto"/>
        <w:rPr>
          <w:rFonts w:ascii="Arial" w:hAnsi="Arial" w:cs="Arial"/>
          <w:color w:val="auto"/>
          <w:szCs w:val="24"/>
          <w:highlight w:val="none"/>
        </w:rPr>
      </w:pPr>
    </w:p>
    <w:p>
      <w:pPr>
        <w:shd w:val="clear"/>
        <w:spacing w:line="360" w:lineRule="auto"/>
        <w:ind w:right="-17" w:rightChars="-8"/>
        <w:jc w:val="center"/>
        <w:rPr>
          <w:rFonts w:ascii="Arial" w:hAnsi="Arial" w:eastAsia="黑体" w:cs="Arial"/>
          <w:color w:val="auto"/>
          <w:sz w:val="44"/>
          <w:szCs w:val="44"/>
          <w:highlight w:val="none"/>
        </w:rPr>
      </w:pPr>
      <w:r>
        <w:rPr>
          <w:rFonts w:hint="default" w:ascii="Arial" w:hAnsi="Arial" w:eastAsia="黑体" w:cs="Arial"/>
          <w:color w:val="auto"/>
          <w:sz w:val="44"/>
          <w:szCs w:val="44"/>
          <w:highlight w:val="none"/>
        </w:rPr>
        <w:t>昆山农商银行CMMI-L3咨询认证复评项目</w:t>
      </w:r>
    </w:p>
    <w:p>
      <w:pPr>
        <w:shd w:val="clear"/>
        <w:spacing w:line="360" w:lineRule="auto"/>
        <w:ind w:right="-17" w:rightChars="-8"/>
        <w:jc w:val="center"/>
        <w:rPr>
          <w:rFonts w:ascii="Arial" w:hAnsi="Arial" w:eastAsia="黑体" w:cs="Arial"/>
          <w:color w:val="auto"/>
          <w:sz w:val="44"/>
          <w:szCs w:val="44"/>
          <w:highlight w:val="none"/>
        </w:rPr>
      </w:pPr>
      <w:r>
        <w:rPr>
          <w:rFonts w:hint="default" w:ascii="Arial" w:hAnsi="Arial" w:eastAsia="黑体" w:cs="Arial"/>
          <w:color w:val="auto"/>
          <w:sz w:val="44"/>
          <w:szCs w:val="44"/>
          <w:highlight w:val="none"/>
        </w:rPr>
        <w:t>咨询服务合同</w:t>
      </w:r>
    </w:p>
    <w:p>
      <w:pPr>
        <w:shd w:val="clear"/>
        <w:spacing w:line="360" w:lineRule="auto"/>
        <w:jc w:val="center"/>
        <w:rPr>
          <w:rFonts w:ascii="Arial" w:hAnsi="Arial" w:eastAsia="黑体" w:cs="Arial"/>
          <w:color w:val="auto"/>
          <w:sz w:val="44"/>
          <w:szCs w:val="44"/>
          <w:highlight w:val="none"/>
        </w:rPr>
      </w:pPr>
    </w:p>
    <w:p>
      <w:pPr>
        <w:shd w:val="clear"/>
        <w:spacing w:line="360" w:lineRule="auto"/>
        <w:ind w:right="-17" w:rightChars="-8"/>
        <w:jc w:val="center"/>
        <w:rPr>
          <w:rFonts w:ascii="Arial" w:hAnsi="Arial" w:eastAsia="黑体" w:cs="Arial"/>
          <w:color w:val="auto"/>
          <w:sz w:val="30"/>
          <w:szCs w:val="30"/>
          <w:highlight w:val="none"/>
        </w:rPr>
      </w:pPr>
    </w:p>
    <w:p>
      <w:pPr>
        <w:shd w:val="clear"/>
        <w:spacing w:line="360" w:lineRule="auto"/>
        <w:ind w:right="-17" w:rightChars="-8"/>
        <w:jc w:val="center"/>
        <w:rPr>
          <w:rFonts w:ascii="Arial" w:hAnsi="Arial" w:eastAsia="黑体" w:cs="Arial"/>
          <w:color w:val="auto"/>
          <w:sz w:val="48"/>
          <w:szCs w:val="48"/>
          <w:highlight w:val="none"/>
        </w:rPr>
      </w:pPr>
    </w:p>
    <w:p>
      <w:pPr>
        <w:shd w:val="clear"/>
        <w:spacing w:line="360" w:lineRule="auto"/>
        <w:rPr>
          <w:rFonts w:ascii="Arial" w:hAnsi="Arial" w:cs="Arial"/>
          <w:color w:val="auto"/>
          <w:szCs w:val="24"/>
          <w:highlight w:val="none"/>
        </w:rPr>
      </w:pPr>
    </w:p>
    <w:p>
      <w:pPr>
        <w:shd w:val="clear"/>
        <w:spacing w:line="360" w:lineRule="auto"/>
        <w:rPr>
          <w:rFonts w:ascii="Arial" w:hAnsi="Arial" w:cs="Arial"/>
          <w:color w:val="auto"/>
          <w:szCs w:val="24"/>
          <w:highlight w:val="none"/>
        </w:rPr>
      </w:pPr>
    </w:p>
    <w:p>
      <w:pPr>
        <w:shd w:val="clear"/>
        <w:spacing w:line="360" w:lineRule="auto"/>
        <w:rPr>
          <w:rFonts w:ascii="Arial" w:hAnsi="Arial" w:cs="Arial"/>
          <w:color w:val="auto"/>
          <w:szCs w:val="24"/>
          <w:highlight w:val="none"/>
        </w:rPr>
      </w:pPr>
    </w:p>
    <w:p>
      <w:pPr>
        <w:shd w:val="clear"/>
        <w:spacing w:line="360" w:lineRule="auto"/>
        <w:rPr>
          <w:rFonts w:ascii="Arial" w:hAnsi="Arial" w:cs="Arial"/>
          <w:color w:val="auto"/>
          <w:szCs w:val="24"/>
          <w:highlight w:val="none"/>
        </w:rPr>
      </w:pPr>
    </w:p>
    <w:p>
      <w:pPr>
        <w:shd w:val="clear"/>
        <w:spacing w:line="360" w:lineRule="auto"/>
        <w:rPr>
          <w:rFonts w:ascii="Arial" w:hAnsi="Arial" w:cs="Arial"/>
          <w:color w:val="auto"/>
          <w:szCs w:val="24"/>
          <w:highlight w:val="none"/>
        </w:rPr>
      </w:pPr>
    </w:p>
    <w:p>
      <w:pPr>
        <w:shd w:val="clear"/>
        <w:spacing w:line="360" w:lineRule="auto"/>
        <w:rPr>
          <w:rFonts w:ascii="Arial" w:hAnsi="Arial" w:cs="Arial"/>
          <w:color w:val="auto"/>
          <w:szCs w:val="24"/>
          <w:highlight w:val="none"/>
        </w:rPr>
      </w:pPr>
    </w:p>
    <w:p>
      <w:pPr>
        <w:shd w:val="clear"/>
        <w:spacing w:line="360" w:lineRule="auto"/>
        <w:rPr>
          <w:rFonts w:ascii="Arial" w:hAnsi="Arial" w:cs="Arial"/>
          <w:color w:val="auto"/>
          <w:szCs w:val="24"/>
          <w:highlight w:val="none"/>
        </w:rPr>
      </w:pPr>
    </w:p>
    <w:p>
      <w:pPr>
        <w:shd w:val="clear"/>
        <w:spacing w:line="360" w:lineRule="auto"/>
        <w:rPr>
          <w:rFonts w:ascii="Arial" w:hAnsi="Arial" w:cs="Arial"/>
          <w:color w:val="auto"/>
          <w:szCs w:val="24"/>
          <w:highlight w:val="none"/>
        </w:rPr>
      </w:pPr>
    </w:p>
    <w:p>
      <w:pPr>
        <w:shd w:val="clear"/>
        <w:spacing w:line="360" w:lineRule="auto"/>
        <w:rPr>
          <w:rFonts w:ascii="Arial" w:hAnsi="Arial" w:cs="Arial"/>
          <w:color w:val="auto"/>
          <w:szCs w:val="24"/>
          <w:highlight w:val="none"/>
        </w:rPr>
      </w:pPr>
    </w:p>
    <w:p>
      <w:pPr>
        <w:shd w:val="clear"/>
        <w:spacing w:line="360" w:lineRule="auto"/>
        <w:jc w:val="center"/>
        <w:rPr>
          <w:rFonts w:ascii="Arial" w:hAnsi="Arial" w:cs="Arial"/>
          <w:color w:val="auto"/>
          <w:sz w:val="32"/>
          <w:szCs w:val="32"/>
          <w:highlight w:val="none"/>
        </w:rPr>
      </w:pPr>
      <w:r>
        <w:rPr>
          <w:rFonts w:hint="default" w:ascii="Arial" w:hAnsi="Arial" w:cs="Arial"/>
          <w:color w:val="auto"/>
          <w:sz w:val="32"/>
          <w:szCs w:val="32"/>
          <w:highlight w:val="none"/>
        </w:rPr>
        <w:t>江苏昆山农村商业银行股份有限公司</w:t>
      </w:r>
    </w:p>
    <w:p>
      <w:pPr>
        <w:shd w:val="clear"/>
        <w:spacing w:line="360" w:lineRule="auto"/>
        <w:jc w:val="center"/>
        <w:rPr>
          <w:rFonts w:ascii="Arial" w:hAnsi="Arial" w:cs="Arial"/>
          <w:color w:val="auto"/>
          <w:sz w:val="32"/>
          <w:szCs w:val="32"/>
          <w:highlight w:val="none"/>
        </w:rPr>
      </w:pPr>
      <w:r>
        <w:rPr>
          <w:rFonts w:hint="default" w:ascii="Arial" w:hAnsi="Arial" w:cs="Arial"/>
          <w:color w:val="auto"/>
          <w:sz w:val="32"/>
          <w:szCs w:val="32"/>
          <w:highlight w:val="none"/>
        </w:rPr>
        <w:t>XXX有限公司</w:t>
      </w:r>
      <w:r>
        <w:rPr>
          <w:rFonts w:ascii="Arial" w:hAnsi="Arial" w:eastAsia="仿宋_GB2312" w:cs="Arial"/>
          <w:b/>
          <w:color w:val="auto"/>
          <w:sz w:val="30"/>
          <w:szCs w:val="30"/>
          <w:highlight w:val="none"/>
        </w:rPr>
        <w:br w:type="page"/>
      </w:r>
      <w:r>
        <w:rPr>
          <w:rFonts w:hint="default" w:ascii="Arial" w:hAnsi="Arial" w:cs="Arial"/>
          <w:b/>
          <w:color w:val="auto"/>
          <w:sz w:val="24"/>
          <w:szCs w:val="24"/>
          <w:highlight w:val="none"/>
        </w:rPr>
        <w:t>目   录</w:t>
      </w:r>
    </w:p>
    <w:p>
      <w:pPr>
        <w:shd w:val="clear"/>
        <w:spacing w:line="360" w:lineRule="auto"/>
        <w:jc w:val="center"/>
        <w:rPr>
          <w:rFonts w:ascii="Arial" w:hAnsi="Arial" w:cs="Arial"/>
          <w:b/>
          <w:color w:val="auto"/>
          <w:sz w:val="24"/>
          <w:szCs w:val="24"/>
          <w:highlight w:val="none"/>
        </w:rPr>
      </w:pPr>
    </w:p>
    <w:p>
      <w:pPr>
        <w:shd w:val="clear"/>
        <w:tabs>
          <w:tab w:val="right" w:leader="dot" w:pos="8400"/>
        </w:tabs>
        <w:spacing w:line="360" w:lineRule="auto"/>
        <w:ind w:left="420" w:leftChars="200"/>
        <w:rPr>
          <w:rFonts w:ascii="Arial" w:hAnsi="Arial" w:cs="Arial"/>
          <w:color w:val="auto"/>
          <w:szCs w:val="21"/>
          <w:highlight w:val="none"/>
        </w:rPr>
      </w:pPr>
      <w:r>
        <w:rPr>
          <w:rFonts w:hint="default" w:ascii="Arial" w:hAnsi="Arial" w:cs="Arial"/>
          <w:color w:val="auto"/>
          <w:szCs w:val="21"/>
          <w:highlight w:val="none"/>
        </w:rPr>
        <w:fldChar w:fldCharType="begin"/>
      </w:r>
      <w:r>
        <w:rPr>
          <w:rFonts w:hint="default" w:ascii="Arial" w:hAnsi="Arial" w:cs="Arial"/>
          <w:color w:val="auto"/>
          <w:szCs w:val="21"/>
          <w:highlight w:val="none"/>
        </w:rPr>
        <w:instrText xml:space="preserve"> TOC \o "1-3" \h \z \u </w:instrText>
      </w:r>
      <w:r>
        <w:rPr>
          <w:rFonts w:hint="default" w:ascii="Arial" w:hAnsi="Arial" w:cs="Arial"/>
          <w:color w:val="auto"/>
          <w:szCs w:val="21"/>
          <w:highlight w:val="none"/>
        </w:rPr>
        <w:fldChar w:fldCharType="separate"/>
      </w:r>
      <w:r>
        <w:rPr>
          <w:rFonts w:ascii="Arial" w:hAnsi="Arial" w:cs="Arial"/>
          <w:color w:val="auto"/>
          <w:highlight w:val="none"/>
        </w:rPr>
        <w:fldChar w:fldCharType="begin"/>
      </w:r>
      <w:r>
        <w:rPr>
          <w:rFonts w:ascii="Arial" w:hAnsi="Arial" w:cs="Arial"/>
          <w:color w:val="auto"/>
          <w:highlight w:val="none"/>
        </w:rPr>
        <w:instrText xml:space="preserve"> HYPERLINK \l "_Toc508" </w:instrText>
      </w:r>
      <w:r>
        <w:rPr>
          <w:rFonts w:ascii="Arial" w:hAnsi="Arial" w:cs="Arial"/>
          <w:color w:val="auto"/>
          <w:highlight w:val="none"/>
        </w:rPr>
        <w:fldChar w:fldCharType="separate"/>
      </w:r>
      <w:r>
        <w:rPr>
          <w:rFonts w:ascii="Arial" w:hAnsi="Arial" w:cs="Arial"/>
          <w:color w:val="auto"/>
          <w:kern w:val="0"/>
          <w:szCs w:val="21"/>
          <w:highlight w:val="none"/>
        </w:rPr>
        <w:t xml:space="preserve">第一条 </w:t>
      </w:r>
      <w:r>
        <w:rPr>
          <w:rFonts w:hint="default" w:ascii="Arial" w:hAnsi="Arial" w:cs="Arial"/>
          <w:color w:val="auto"/>
          <w:szCs w:val="21"/>
          <w:highlight w:val="none"/>
        </w:rPr>
        <w:t>项目的内容和要求</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_Toc508 </w:instrText>
      </w:r>
      <w:r>
        <w:rPr>
          <w:rFonts w:ascii="Arial" w:hAnsi="Arial" w:cs="Arial"/>
          <w:color w:val="auto"/>
          <w:szCs w:val="21"/>
          <w:highlight w:val="none"/>
        </w:rPr>
        <w:fldChar w:fldCharType="separate"/>
      </w:r>
      <w:r>
        <w:rPr>
          <w:rFonts w:ascii="Arial" w:hAnsi="Arial" w:cs="Arial"/>
          <w:color w:val="auto"/>
          <w:szCs w:val="21"/>
          <w:highlight w:val="none"/>
        </w:rPr>
        <w:t>3</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"_Toc29724" </w:instrText>
      </w:r>
      <w:r>
        <w:rPr>
          <w:rFonts w:ascii="Arial" w:hAnsi="Arial" w:cs="Arial"/>
          <w:color w:val="auto"/>
          <w:highlight w:val="none"/>
        </w:rPr>
        <w:fldChar w:fldCharType="separate"/>
      </w:r>
      <w:r>
        <w:rPr>
          <w:rFonts w:ascii="Arial" w:hAnsi="Arial" w:cs="Arial"/>
          <w:color w:val="auto"/>
          <w:kern w:val="0"/>
          <w:szCs w:val="21"/>
          <w:highlight w:val="none"/>
        </w:rPr>
        <w:t xml:space="preserve">第二条 </w:t>
      </w:r>
      <w:r>
        <w:rPr>
          <w:rFonts w:hint="default" w:ascii="Arial" w:hAnsi="Arial" w:cs="Arial"/>
          <w:color w:val="auto"/>
          <w:szCs w:val="21"/>
          <w:highlight w:val="none"/>
        </w:rPr>
        <w:t>项目的验收</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_Toc29724 </w:instrText>
      </w:r>
      <w:r>
        <w:rPr>
          <w:rFonts w:ascii="Arial" w:hAnsi="Arial" w:cs="Arial"/>
          <w:color w:val="auto"/>
          <w:szCs w:val="21"/>
          <w:highlight w:val="none"/>
        </w:rPr>
        <w:fldChar w:fldCharType="separate"/>
      </w:r>
      <w:r>
        <w:rPr>
          <w:rFonts w:ascii="Arial" w:hAnsi="Arial" w:cs="Arial"/>
          <w:color w:val="auto"/>
          <w:szCs w:val="21"/>
          <w:highlight w:val="none"/>
        </w:rPr>
        <w:t>3</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"_Toc30563" </w:instrText>
      </w:r>
      <w:r>
        <w:rPr>
          <w:rFonts w:ascii="Arial" w:hAnsi="Arial" w:cs="Arial"/>
          <w:color w:val="auto"/>
          <w:highlight w:val="none"/>
        </w:rPr>
        <w:fldChar w:fldCharType="separate"/>
      </w:r>
      <w:r>
        <w:rPr>
          <w:rFonts w:ascii="Arial" w:hAnsi="Arial" w:cs="Arial"/>
          <w:color w:val="auto"/>
          <w:kern w:val="0"/>
          <w:szCs w:val="21"/>
          <w:highlight w:val="none"/>
        </w:rPr>
        <w:t xml:space="preserve">第三条 </w:t>
      </w:r>
      <w:r>
        <w:rPr>
          <w:rFonts w:hint="default" w:ascii="Arial" w:hAnsi="Arial" w:cs="Arial"/>
          <w:color w:val="auto"/>
          <w:szCs w:val="21"/>
          <w:highlight w:val="none"/>
        </w:rPr>
        <w:t>项目的交付</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_Toc30563 </w:instrText>
      </w:r>
      <w:r>
        <w:rPr>
          <w:rFonts w:ascii="Arial" w:hAnsi="Arial" w:cs="Arial"/>
          <w:color w:val="auto"/>
          <w:szCs w:val="21"/>
          <w:highlight w:val="none"/>
        </w:rPr>
        <w:fldChar w:fldCharType="separate"/>
      </w:r>
      <w:r>
        <w:rPr>
          <w:rFonts w:ascii="Arial" w:hAnsi="Arial" w:cs="Arial"/>
          <w:color w:val="auto"/>
          <w:szCs w:val="21"/>
          <w:highlight w:val="none"/>
        </w:rPr>
        <w:t>4</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"_Toc16200" </w:instrText>
      </w:r>
      <w:r>
        <w:rPr>
          <w:rFonts w:ascii="Arial" w:hAnsi="Arial" w:cs="Arial"/>
          <w:color w:val="auto"/>
          <w:highlight w:val="none"/>
        </w:rPr>
        <w:fldChar w:fldCharType="separate"/>
      </w:r>
      <w:r>
        <w:rPr>
          <w:rFonts w:ascii="Arial" w:hAnsi="Arial" w:cs="Arial"/>
          <w:color w:val="auto"/>
          <w:kern w:val="0"/>
          <w:szCs w:val="21"/>
          <w:highlight w:val="none"/>
        </w:rPr>
        <w:t xml:space="preserve">第四条 </w:t>
      </w:r>
      <w:r>
        <w:rPr>
          <w:rFonts w:hint="default" w:ascii="Arial" w:hAnsi="Arial" w:cs="Arial"/>
          <w:color w:val="auto"/>
          <w:szCs w:val="21"/>
          <w:highlight w:val="none"/>
        </w:rPr>
        <w:t>甲方权利义务</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_Toc16200 </w:instrText>
      </w:r>
      <w:r>
        <w:rPr>
          <w:rFonts w:ascii="Arial" w:hAnsi="Arial" w:cs="Arial"/>
          <w:color w:val="auto"/>
          <w:szCs w:val="21"/>
          <w:highlight w:val="none"/>
        </w:rPr>
        <w:fldChar w:fldCharType="separate"/>
      </w:r>
      <w:r>
        <w:rPr>
          <w:rFonts w:ascii="Arial" w:hAnsi="Arial" w:cs="Arial"/>
          <w:color w:val="auto"/>
          <w:szCs w:val="21"/>
          <w:highlight w:val="none"/>
        </w:rPr>
        <w:t>4</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"_Toc5727" </w:instrText>
      </w:r>
      <w:r>
        <w:rPr>
          <w:rFonts w:ascii="Arial" w:hAnsi="Arial" w:cs="Arial"/>
          <w:color w:val="auto"/>
          <w:highlight w:val="none"/>
        </w:rPr>
        <w:fldChar w:fldCharType="separate"/>
      </w:r>
      <w:r>
        <w:rPr>
          <w:rFonts w:ascii="Arial" w:hAnsi="Arial" w:cs="Arial"/>
          <w:color w:val="auto"/>
          <w:kern w:val="0"/>
          <w:szCs w:val="21"/>
          <w:highlight w:val="none"/>
        </w:rPr>
        <w:t xml:space="preserve">第五条 </w:t>
      </w:r>
      <w:r>
        <w:rPr>
          <w:rFonts w:hint="default" w:ascii="Arial" w:hAnsi="Arial" w:cs="Arial"/>
          <w:color w:val="auto"/>
          <w:szCs w:val="21"/>
          <w:highlight w:val="none"/>
        </w:rPr>
        <w:t>乙方权利义务</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_Toc5727 </w:instrText>
      </w:r>
      <w:r>
        <w:rPr>
          <w:rFonts w:ascii="Arial" w:hAnsi="Arial" w:cs="Arial"/>
          <w:color w:val="auto"/>
          <w:szCs w:val="21"/>
          <w:highlight w:val="none"/>
        </w:rPr>
        <w:fldChar w:fldCharType="separate"/>
      </w:r>
      <w:r>
        <w:rPr>
          <w:rFonts w:ascii="Arial" w:hAnsi="Arial" w:cs="Arial"/>
          <w:color w:val="auto"/>
          <w:szCs w:val="21"/>
          <w:highlight w:val="none"/>
        </w:rPr>
        <w:t>4</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"_Toc22773" </w:instrText>
      </w:r>
      <w:r>
        <w:rPr>
          <w:rFonts w:ascii="Arial" w:hAnsi="Arial" w:cs="Arial"/>
          <w:color w:val="auto"/>
          <w:highlight w:val="none"/>
        </w:rPr>
        <w:fldChar w:fldCharType="separate"/>
      </w:r>
      <w:r>
        <w:rPr>
          <w:rFonts w:ascii="Arial" w:hAnsi="Arial" w:cs="Arial"/>
          <w:color w:val="auto"/>
          <w:kern w:val="0"/>
          <w:szCs w:val="21"/>
          <w:highlight w:val="none"/>
        </w:rPr>
        <w:t xml:space="preserve">第六条 </w:t>
      </w:r>
      <w:r>
        <w:rPr>
          <w:rFonts w:hint="default" w:ascii="Arial" w:hAnsi="Arial" w:cs="Arial"/>
          <w:color w:val="auto"/>
          <w:szCs w:val="21"/>
          <w:highlight w:val="none"/>
        </w:rPr>
        <w:t>合同金额和支付</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_Toc22773 </w:instrText>
      </w:r>
      <w:r>
        <w:rPr>
          <w:rFonts w:ascii="Arial" w:hAnsi="Arial" w:cs="Arial"/>
          <w:color w:val="auto"/>
          <w:szCs w:val="21"/>
          <w:highlight w:val="none"/>
        </w:rPr>
        <w:fldChar w:fldCharType="separate"/>
      </w:r>
      <w:r>
        <w:rPr>
          <w:rFonts w:ascii="Arial" w:hAnsi="Arial" w:cs="Arial"/>
          <w:color w:val="auto"/>
          <w:szCs w:val="21"/>
          <w:highlight w:val="none"/>
        </w:rPr>
        <w:t>5</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"_Toc32020" </w:instrText>
      </w:r>
      <w:r>
        <w:rPr>
          <w:rFonts w:ascii="Arial" w:hAnsi="Arial" w:cs="Arial"/>
          <w:color w:val="auto"/>
          <w:highlight w:val="none"/>
        </w:rPr>
        <w:fldChar w:fldCharType="separate"/>
      </w:r>
      <w:r>
        <w:rPr>
          <w:rFonts w:ascii="Arial" w:hAnsi="Arial" w:cs="Arial"/>
          <w:color w:val="auto"/>
          <w:kern w:val="0"/>
          <w:szCs w:val="21"/>
          <w:highlight w:val="none"/>
        </w:rPr>
        <w:t xml:space="preserve">第七条 </w:t>
      </w:r>
      <w:r>
        <w:rPr>
          <w:rFonts w:hint="default" w:ascii="Arial" w:hAnsi="Arial" w:cs="Arial"/>
          <w:color w:val="auto"/>
          <w:szCs w:val="21"/>
          <w:highlight w:val="none"/>
        </w:rPr>
        <w:t>责任限制</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_Toc32020 </w:instrText>
      </w:r>
      <w:r>
        <w:rPr>
          <w:rFonts w:ascii="Arial" w:hAnsi="Arial" w:cs="Arial"/>
          <w:color w:val="auto"/>
          <w:szCs w:val="21"/>
          <w:highlight w:val="none"/>
        </w:rPr>
        <w:fldChar w:fldCharType="separate"/>
      </w:r>
      <w:r>
        <w:rPr>
          <w:rFonts w:ascii="Arial" w:hAnsi="Arial" w:cs="Arial"/>
          <w:color w:val="auto"/>
          <w:szCs w:val="21"/>
          <w:highlight w:val="none"/>
        </w:rPr>
        <w:t>6</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"_Toc17091" </w:instrText>
      </w:r>
      <w:r>
        <w:rPr>
          <w:rFonts w:ascii="Arial" w:hAnsi="Arial" w:cs="Arial"/>
          <w:color w:val="auto"/>
          <w:highlight w:val="none"/>
        </w:rPr>
        <w:fldChar w:fldCharType="separate"/>
      </w:r>
      <w:r>
        <w:rPr>
          <w:rFonts w:ascii="Arial" w:hAnsi="Arial" w:cs="Arial"/>
          <w:color w:val="auto"/>
          <w:kern w:val="0"/>
          <w:szCs w:val="21"/>
          <w:highlight w:val="none"/>
        </w:rPr>
        <w:t xml:space="preserve">第八条 </w:t>
      </w:r>
      <w:r>
        <w:rPr>
          <w:rFonts w:hint="default" w:ascii="Arial" w:hAnsi="Arial" w:cs="Arial"/>
          <w:color w:val="auto"/>
          <w:szCs w:val="21"/>
          <w:highlight w:val="none"/>
        </w:rPr>
        <w:t>技术支持与培训</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_Toc17091 </w:instrText>
      </w:r>
      <w:r>
        <w:rPr>
          <w:rFonts w:ascii="Arial" w:hAnsi="Arial" w:cs="Arial"/>
          <w:color w:val="auto"/>
          <w:szCs w:val="21"/>
          <w:highlight w:val="none"/>
        </w:rPr>
        <w:fldChar w:fldCharType="separate"/>
      </w:r>
      <w:r>
        <w:rPr>
          <w:rFonts w:ascii="Arial" w:hAnsi="Arial" w:cs="Arial"/>
          <w:color w:val="auto"/>
          <w:szCs w:val="21"/>
          <w:highlight w:val="none"/>
        </w:rPr>
        <w:t>6</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"_Toc14981" </w:instrText>
      </w:r>
      <w:r>
        <w:rPr>
          <w:rFonts w:ascii="Arial" w:hAnsi="Arial" w:cs="Arial"/>
          <w:color w:val="auto"/>
          <w:highlight w:val="none"/>
        </w:rPr>
        <w:fldChar w:fldCharType="separate"/>
      </w:r>
      <w:r>
        <w:rPr>
          <w:rFonts w:ascii="Arial" w:hAnsi="Arial" w:cs="Arial"/>
          <w:color w:val="auto"/>
          <w:kern w:val="0"/>
          <w:szCs w:val="21"/>
          <w:highlight w:val="none"/>
        </w:rPr>
        <w:t xml:space="preserve">第九条 </w:t>
      </w:r>
      <w:r>
        <w:rPr>
          <w:rFonts w:hint="default" w:ascii="Arial" w:hAnsi="Arial" w:cs="Arial"/>
          <w:color w:val="auto"/>
          <w:szCs w:val="21"/>
          <w:highlight w:val="none"/>
        </w:rPr>
        <w:t>知识产权</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_Toc14981 </w:instrText>
      </w:r>
      <w:r>
        <w:rPr>
          <w:rFonts w:ascii="Arial" w:hAnsi="Arial" w:cs="Arial"/>
          <w:color w:val="auto"/>
          <w:szCs w:val="21"/>
          <w:highlight w:val="none"/>
        </w:rPr>
        <w:fldChar w:fldCharType="separate"/>
      </w:r>
      <w:r>
        <w:rPr>
          <w:rFonts w:ascii="Arial" w:hAnsi="Arial" w:cs="Arial"/>
          <w:color w:val="auto"/>
          <w:szCs w:val="21"/>
          <w:highlight w:val="none"/>
        </w:rPr>
        <w:t>6</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"_Toc7169" </w:instrText>
      </w:r>
      <w:r>
        <w:rPr>
          <w:rFonts w:ascii="Arial" w:hAnsi="Arial" w:cs="Arial"/>
          <w:color w:val="auto"/>
          <w:highlight w:val="none"/>
        </w:rPr>
        <w:fldChar w:fldCharType="separate"/>
      </w:r>
      <w:r>
        <w:rPr>
          <w:rFonts w:ascii="Arial" w:hAnsi="Arial" w:cs="Arial"/>
          <w:color w:val="auto"/>
          <w:kern w:val="0"/>
          <w:szCs w:val="21"/>
          <w:highlight w:val="none"/>
        </w:rPr>
        <w:t xml:space="preserve">第十条 </w:t>
      </w:r>
      <w:r>
        <w:rPr>
          <w:rFonts w:hint="default" w:ascii="Arial" w:hAnsi="Arial" w:cs="Arial"/>
          <w:color w:val="auto"/>
          <w:szCs w:val="21"/>
          <w:highlight w:val="none"/>
        </w:rPr>
        <w:t>保密条款</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_Toc7169 </w:instrText>
      </w:r>
      <w:r>
        <w:rPr>
          <w:rFonts w:ascii="Arial" w:hAnsi="Arial" w:cs="Arial"/>
          <w:color w:val="auto"/>
          <w:szCs w:val="21"/>
          <w:highlight w:val="none"/>
        </w:rPr>
        <w:fldChar w:fldCharType="separate"/>
      </w:r>
      <w:r>
        <w:rPr>
          <w:rFonts w:ascii="Arial" w:hAnsi="Arial" w:cs="Arial"/>
          <w:color w:val="auto"/>
          <w:szCs w:val="21"/>
          <w:highlight w:val="none"/>
        </w:rPr>
        <w:t>7</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"_Toc29620" </w:instrText>
      </w:r>
      <w:r>
        <w:rPr>
          <w:rFonts w:ascii="Arial" w:hAnsi="Arial" w:cs="Arial"/>
          <w:color w:val="auto"/>
          <w:highlight w:val="none"/>
        </w:rPr>
        <w:fldChar w:fldCharType="separate"/>
      </w:r>
      <w:r>
        <w:rPr>
          <w:rFonts w:ascii="Arial" w:hAnsi="Arial" w:cs="Arial"/>
          <w:color w:val="auto"/>
          <w:kern w:val="0"/>
          <w:szCs w:val="21"/>
          <w:highlight w:val="none"/>
        </w:rPr>
        <w:t xml:space="preserve">第十一条 </w:t>
      </w:r>
      <w:r>
        <w:rPr>
          <w:rFonts w:hint="default" w:ascii="Arial" w:hAnsi="Arial" w:cs="Arial"/>
          <w:color w:val="auto"/>
          <w:szCs w:val="21"/>
          <w:highlight w:val="none"/>
        </w:rPr>
        <w:t>违约及赔偿</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_Toc29620 </w:instrText>
      </w:r>
      <w:r>
        <w:rPr>
          <w:rFonts w:ascii="Arial" w:hAnsi="Arial" w:cs="Arial"/>
          <w:color w:val="auto"/>
          <w:szCs w:val="21"/>
          <w:highlight w:val="none"/>
        </w:rPr>
        <w:fldChar w:fldCharType="separate"/>
      </w:r>
      <w:r>
        <w:rPr>
          <w:rFonts w:ascii="Arial" w:hAnsi="Arial" w:cs="Arial"/>
          <w:color w:val="auto"/>
          <w:szCs w:val="21"/>
          <w:highlight w:val="none"/>
        </w:rPr>
        <w:t>7</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"_Toc13525" </w:instrText>
      </w:r>
      <w:r>
        <w:rPr>
          <w:rFonts w:ascii="Arial" w:hAnsi="Arial" w:cs="Arial"/>
          <w:color w:val="auto"/>
          <w:highlight w:val="none"/>
        </w:rPr>
        <w:fldChar w:fldCharType="separate"/>
      </w:r>
      <w:r>
        <w:rPr>
          <w:rFonts w:ascii="Arial" w:hAnsi="Arial" w:cs="Arial"/>
          <w:color w:val="auto"/>
          <w:kern w:val="0"/>
          <w:szCs w:val="21"/>
          <w:highlight w:val="none"/>
        </w:rPr>
        <w:t xml:space="preserve">第十二条 </w:t>
      </w:r>
      <w:r>
        <w:rPr>
          <w:rFonts w:hint="default" w:ascii="Arial" w:hAnsi="Arial" w:cs="Arial"/>
          <w:color w:val="auto"/>
          <w:szCs w:val="21"/>
          <w:highlight w:val="none"/>
        </w:rPr>
        <w:t>质量保证</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_Toc13525 </w:instrText>
      </w:r>
      <w:r>
        <w:rPr>
          <w:rFonts w:ascii="Arial" w:hAnsi="Arial" w:cs="Arial"/>
          <w:color w:val="auto"/>
          <w:szCs w:val="21"/>
          <w:highlight w:val="none"/>
        </w:rPr>
        <w:fldChar w:fldCharType="separate"/>
      </w:r>
      <w:r>
        <w:rPr>
          <w:rFonts w:ascii="Arial" w:hAnsi="Arial" w:cs="Arial"/>
          <w:color w:val="auto"/>
          <w:szCs w:val="21"/>
          <w:highlight w:val="none"/>
        </w:rPr>
        <w:t>8</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"_Toc8885" </w:instrText>
      </w:r>
      <w:r>
        <w:rPr>
          <w:rFonts w:ascii="Arial" w:hAnsi="Arial" w:cs="Arial"/>
          <w:color w:val="auto"/>
          <w:highlight w:val="none"/>
        </w:rPr>
        <w:fldChar w:fldCharType="separate"/>
      </w:r>
      <w:r>
        <w:rPr>
          <w:rFonts w:ascii="Arial" w:hAnsi="Arial" w:cs="Arial"/>
          <w:color w:val="auto"/>
          <w:kern w:val="0"/>
          <w:szCs w:val="21"/>
          <w:highlight w:val="none"/>
        </w:rPr>
        <w:t xml:space="preserve">第十三条 </w:t>
      </w:r>
      <w:r>
        <w:rPr>
          <w:rFonts w:hint="default" w:ascii="Arial" w:hAnsi="Arial" w:cs="Arial"/>
          <w:color w:val="auto"/>
          <w:szCs w:val="21"/>
          <w:highlight w:val="none"/>
        </w:rPr>
        <w:t>合同期限、合同的解除</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_Toc8885 </w:instrText>
      </w:r>
      <w:r>
        <w:rPr>
          <w:rFonts w:ascii="Arial" w:hAnsi="Arial" w:cs="Arial"/>
          <w:color w:val="auto"/>
          <w:szCs w:val="21"/>
          <w:highlight w:val="none"/>
        </w:rPr>
        <w:fldChar w:fldCharType="separate"/>
      </w:r>
      <w:r>
        <w:rPr>
          <w:rFonts w:ascii="Arial" w:hAnsi="Arial" w:cs="Arial"/>
          <w:color w:val="auto"/>
          <w:szCs w:val="21"/>
          <w:highlight w:val="none"/>
        </w:rPr>
        <w:t>8</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"_Toc26493" </w:instrText>
      </w:r>
      <w:r>
        <w:rPr>
          <w:rFonts w:ascii="Arial" w:hAnsi="Arial" w:cs="Arial"/>
          <w:color w:val="auto"/>
          <w:highlight w:val="none"/>
        </w:rPr>
        <w:fldChar w:fldCharType="separate"/>
      </w:r>
      <w:r>
        <w:rPr>
          <w:rFonts w:ascii="Arial" w:hAnsi="Arial" w:cs="Arial"/>
          <w:color w:val="auto"/>
          <w:kern w:val="0"/>
          <w:szCs w:val="21"/>
          <w:highlight w:val="none"/>
        </w:rPr>
        <w:t xml:space="preserve">第十四条 </w:t>
      </w:r>
      <w:r>
        <w:rPr>
          <w:rFonts w:hint="default" w:ascii="Arial" w:hAnsi="Arial" w:cs="Arial"/>
          <w:color w:val="auto"/>
          <w:szCs w:val="21"/>
          <w:highlight w:val="none"/>
        </w:rPr>
        <w:t>不可抗力</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_Toc26493 </w:instrText>
      </w:r>
      <w:r>
        <w:rPr>
          <w:rFonts w:ascii="Arial" w:hAnsi="Arial" w:cs="Arial"/>
          <w:color w:val="auto"/>
          <w:szCs w:val="21"/>
          <w:highlight w:val="none"/>
        </w:rPr>
        <w:fldChar w:fldCharType="separate"/>
      </w:r>
      <w:r>
        <w:rPr>
          <w:rFonts w:ascii="Arial" w:hAnsi="Arial" w:cs="Arial"/>
          <w:color w:val="auto"/>
          <w:szCs w:val="21"/>
          <w:highlight w:val="none"/>
        </w:rPr>
        <w:t>9</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"_Toc18270" </w:instrText>
      </w:r>
      <w:r>
        <w:rPr>
          <w:rFonts w:ascii="Arial" w:hAnsi="Arial" w:cs="Arial"/>
          <w:color w:val="auto"/>
          <w:highlight w:val="none"/>
        </w:rPr>
        <w:fldChar w:fldCharType="separate"/>
      </w:r>
      <w:r>
        <w:rPr>
          <w:rFonts w:ascii="Arial" w:hAnsi="Arial" w:cs="Arial"/>
          <w:color w:val="auto"/>
          <w:kern w:val="0"/>
          <w:szCs w:val="21"/>
          <w:highlight w:val="none"/>
        </w:rPr>
        <w:t xml:space="preserve">第十五条 </w:t>
      </w:r>
      <w:r>
        <w:rPr>
          <w:rFonts w:hint="default" w:ascii="Arial" w:hAnsi="Arial" w:cs="Arial"/>
          <w:color w:val="auto"/>
          <w:szCs w:val="21"/>
          <w:highlight w:val="none"/>
        </w:rPr>
        <w:t>适用法律和争议解决</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_Toc18270 </w:instrText>
      </w:r>
      <w:r>
        <w:rPr>
          <w:rFonts w:ascii="Arial" w:hAnsi="Arial" w:cs="Arial"/>
          <w:color w:val="auto"/>
          <w:szCs w:val="21"/>
          <w:highlight w:val="none"/>
        </w:rPr>
        <w:fldChar w:fldCharType="separate"/>
      </w:r>
      <w:r>
        <w:rPr>
          <w:rFonts w:ascii="Arial" w:hAnsi="Arial" w:cs="Arial"/>
          <w:color w:val="auto"/>
          <w:szCs w:val="21"/>
          <w:highlight w:val="none"/>
        </w:rPr>
        <w:t>9</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"_Toc20671" </w:instrText>
      </w:r>
      <w:r>
        <w:rPr>
          <w:rFonts w:ascii="Arial" w:hAnsi="Arial" w:cs="Arial"/>
          <w:color w:val="auto"/>
          <w:highlight w:val="none"/>
        </w:rPr>
        <w:fldChar w:fldCharType="separate"/>
      </w:r>
      <w:r>
        <w:rPr>
          <w:rFonts w:ascii="Arial" w:hAnsi="Arial" w:cs="Arial"/>
          <w:color w:val="auto"/>
          <w:kern w:val="0"/>
          <w:szCs w:val="21"/>
          <w:highlight w:val="none"/>
        </w:rPr>
        <w:t xml:space="preserve">第十六条 </w:t>
      </w:r>
      <w:r>
        <w:rPr>
          <w:rFonts w:hint="default" w:ascii="Arial" w:hAnsi="Arial" w:cs="Arial"/>
          <w:color w:val="auto"/>
          <w:szCs w:val="21"/>
          <w:highlight w:val="none"/>
        </w:rPr>
        <w:t>合同的变更</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_Toc20671 </w:instrText>
      </w:r>
      <w:r>
        <w:rPr>
          <w:rFonts w:ascii="Arial" w:hAnsi="Arial" w:cs="Arial"/>
          <w:color w:val="auto"/>
          <w:szCs w:val="21"/>
          <w:highlight w:val="none"/>
        </w:rPr>
        <w:fldChar w:fldCharType="separate"/>
      </w:r>
      <w:r>
        <w:rPr>
          <w:rFonts w:ascii="Arial" w:hAnsi="Arial" w:cs="Arial"/>
          <w:color w:val="auto"/>
          <w:szCs w:val="21"/>
          <w:highlight w:val="none"/>
        </w:rPr>
        <w:t>9</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"_Toc24190" </w:instrText>
      </w:r>
      <w:r>
        <w:rPr>
          <w:rFonts w:ascii="Arial" w:hAnsi="Arial" w:cs="Arial"/>
          <w:color w:val="auto"/>
          <w:highlight w:val="none"/>
        </w:rPr>
        <w:fldChar w:fldCharType="separate"/>
      </w:r>
      <w:r>
        <w:rPr>
          <w:rFonts w:ascii="Arial" w:hAnsi="Arial" w:cs="Arial"/>
          <w:color w:val="auto"/>
          <w:kern w:val="0"/>
          <w:szCs w:val="21"/>
          <w:highlight w:val="none"/>
        </w:rPr>
        <w:t xml:space="preserve">第十七条 </w:t>
      </w:r>
      <w:r>
        <w:rPr>
          <w:rFonts w:hint="default" w:ascii="Arial" w:hAnsi="Arial" w:cs="Arial"/>
          <w:color w:val="auto"/>
          <w:szCs w:val="21"/>
          <w:highlight w:val="none"/>
        </w:rPr>
        <w:t>合同生效及其它</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_Toc24190 </w:instrText>
      </w:r>
      <w:r>
        <w:rPr>
          <w:rFonts w:ascii="Arial" w:hAnsi="Arial" w:cs="Arial"/>
          <w:color w:val="auto"/>
          <w:szCs w:val="21"/>
          <w:highlight w:val="none"/>
        </w:rPr>
        <w:fldChar w:fldCharType="separate"/>
      </w:r>
      <w:r>
        <w:rPr>
          <w:rFonts w:ascii="Arial" w:hAnsi="Arial" w:cs="Arial"/>
          <w:color w:val="auto"/>
          <w:szCs w:val="21"/>
          <w:highlight w:val="none"/>
        </w:rPr>
        <w:t>10</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tabs>
          <w:tab w:val="right" w:leader="dot" w:pos="8400"/>
        </w:tabs>
        <w:spacing w:line="360" w:lineRule="auto"/>
        <w:ind w:left="420" w:leftChars="200"/>
        <w:rPr>
          <w:rFonts w:ascii="Arial" w:hAnsi="Arial" w:cs="Arial"/>
          <w:color w:val="auto"/>
          <w:szCs w:val="21"/>
          <w:highlight w:val="none"/>
        </w:rPr>
      </w:pPr>
      <w:r>
        <w:rPr>
          <w:rFonts w:ascii="Arial" w:hAnsi="Arial" w:cs="Arial"/>
          <w:color w:val="auto"/>
          <w:highlight w:val="none"/>
        </w:rPr>
        <w:fldChar w:fldCharType="begin"/>
      </w:r>
      <w:r>
        <w:rPr>
          <w:rFonts w:ascii="Arial" w:hAnsi="Arial" w:cs="Arial"/>
          <w:color w:val="auto"/>
          <w:highlight w:val="none"/>
        </w:rPr>
        <w:instrText xml:space="preserve"> HYPERLINK \l "_Toc2249" </w:instrText>
      </w:r>
      <w:r>
        <w:rPr>
          <w:rFonts w:ascii="Arial" w:hAnsi="Arial" w:cs="Arial"/>
          <w:color w:val="auto"/>
          <w:highlight w:val="none"/>
        </w:rPr>
        <w:fldChar w:fldCharType="separate"/>
      </w:r>
      <w:r>
        <w:rPr>
          <w:rFonts w:ascii="Arial" w:hAnsi="Arial" w:cs="Arial"/>
          <w:color w:val="auto"/>
          <w:kern w:val="0"/>
          <w:szCs w:val="21"/>
          <w:highlight w:val="none"/>
        </w:rPr>
        <w:t xml:space="preserve">第十八条 </w:t>
      </w:r>
      <w:r>
        <w:rPr>
          <w:rFonts w:hint="default" w:ascii="Arial" w:hAnsi="Arial" w:cs="Arial"/>
          <w:color w:val="auto"/>
          <w:szCs w:val="21"/>
          <w:highlight w:val="none"/>
        </w:rPr>
        <w:t>未尽事宜</w:t>
      </w:r>
      <w:r>
        <w:rPr>
          <w:rFonts w:ascii="Arial" w:hAnsi="Arial" w:cs="Arial"/>
          <w:color w:val="auto"/>
          <w:szCs w:val="21"/>
          <w:highlight w:val="none"/>
        </w:rPr>
        <w:tab/>
      </w:r>
      <w:r>
        <w:rPr>
          <w:rFonts w:ascii="Arial" w:hAnsi="Arial" w:cs="Arial"/>
          <w:color w:val="auto"/>
          <w:szCs w:val="21"/>
          <w:highlight w:val="none"/>
        </w:rPr>
        <w:fldChar w:fldCharType="begin"/>
      </w:r>
      <w:r>
        <w:rPr>
          <w:rFonts w:ascii="Arial" w:hAnsi="Arial" w:cs="Arial"/>
          <w:color w:val="auto"/>
          <w:szCs w:val="21"/>
          <w:highlight w:val="none"/>
        </w:rPr>
        <w:instrText xml:space="preserve"> PAGEREF _Toc2249 </w:instrText>
      </w:r>
      <w:r>
        <w:rPr>
          <w:rFonts w:ascii="Arial" w:hAnsi="Arial" w:cs="Arial"/>
          <w:color w:val="auto"/>
          <w:szCs w:val="21"/>
          <w:highlight w:val="none"/>
        </w:rPr>
        <w:fldChar w:fldCharType="separate"/>
      </w:r>
      <w:r>
        <w:rPr>
          <w:rFonts w:ascii="Arial" w:hAnsi="Arial" w:cs="Arial"/>
          <w:color w:val="auto"/>
          <w:szCs w:val="21"/>
          <w:highlight w:val="none"/>
        </w:rPr>
        <w:t>10</w:t>
      </w:r>
      <w:r>
        <w:rPr>
          <w:rFonts w:ascii="Arial" w:hAnsi="Arial" w:cs="Arial"/>
          <w:color w:val="auto"/>
          <w:szCs w:val="21"/>
          <w:highlight w:val="none"/>
        </w:rPr>
        <w:fldChar w:fldCharType="end"/>
      </w:r>
      <w:r>
        <w:rPr>
          <w:rFonts w:ascii="Arial" w:hAnsi="Arial" w:cs="Arial"/>
          <w:color w:val="auto"/>
          <w:szCs w:val="21"/>
          <w:highlight w:val="none"/>
        </w:rPr>
        <w:fldChar w:fldCharType="end"/>
      </w:r>
    </w:p>
    <w:p>
      <w:pPr>
        <w:shd w:val="clear"/>
        <w:spacing w:line="360" w:lineRule="auto"/>
        <w:rPr>
          <w:rFonts w:ascii="Arial" w:hAnsi="Arial" w:cs="Arial"/>
          <w:color w:val="auto"/>
          <w:sz w:val="24"/>
          <w:szCs w:val="24"/>
          <w:highlight w:val="none"/>
        </w:rPr>
      </w:pPr>
      <w:r>
        <w:rPr>
          <w:rFonts w:hint="default" w:ascii="Arial" w:hAnsi="Arial" w:cs="Arial"/>
          <w:color w:val="auto"/>
          <w:szCs w:val="21"/>
          <w:highlight w:val="none"/>
        </w:rPr>
        <w:fldChar w:fldCharType="end"/>
      </w:r>
    </w:p>
    <w:p>
      <w:pPr>
        <w:shd w:val="clear"/>
        <w:spacing w:line="360" w:lineRule="auto"/>
        <w:jc w:val="right"/>
        <w:rPr>
          <w:rFonts w:ascii="Arial" w:hAnsi="Arial" w:cs="Arial"/>
          <w:color w:val="auto"/>
          <w:sz w:val="24"/>
          <w:szCs w:val="24"/>
          <w:highlight w:val="none"/>
        </w:rPr>
      </w:pPr>
    </w:p>
    <w:p>
      <w:pPr>
        <w:shd w:val="clear"/>
        <w:spacing w:line="360" w:lineRule="auto"/>
        <w:rPr>
          <w:rFonts w:ascii="Arial" w:hAnsi="Arial" w:cs="Arial"/>
          <w:color w:val="auto"/>
          <w:sz w:val="24"/>
          <w:szCs w:val="24"/>
          <w:highlight w:val="none"/>
        </w:rPr>
      </w:pPr>
      <w:r>
        <w:rPr>
          <w:rFonts w:ascii="Arial" w:hAnsi="Arial" w:cs="Arial"/>
          <w:color w:val="auto"/>
          <w:sz w:val="24"/>
          <w:szCs w:val="24"/>
          <w:highlight w:val="none"/>
        </w:rPr>
        <w:br w:type="page"/>
      </w:r>
    </w:p>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 xml:space="preserve">甲方：江苏昆山农村商业银行股份有限公司 </w:t>
      </w:r>
    </w:p>
    <w:p>
      <w:pPr>
        <w:shd w:val="clear"/>
        <w:spacing w:line="360" w:lineRule="auto"/>
        <w:ind w:firstLine="720" w:firstLineChars="300"/>
        <w:rPr>
          <w:rFonts w:ascii="Arial" w:hAnsi="Arial" w:cs="Arial"/>
          <w:color w:val="auto"/>
          <w:sz w:val="24"/>
          <w:szCs w:val="24"/>
          <w:highlight w:val="none"/>
        </w:rPr>
      </w:pPr>
      <w:r>
        <w:rPr>
          <w:rFonts w:hint="default" w:ascii="Arial" w:hAnsi="Arial" w:cs="Arial"/>
          <w:color w:val="auto"/>
          <w:sz w:val="24"/>
          <w:szCs w:val="24"/>
          <w:highlight w:val="none"/>
        </w:rPr>
        <w:t>法定代表人：</w:t>
      </w:r>
      <w:r>
        <w:rPr>
          <w:rFonts w:hint="eastAsia" w:ascii="Arial" w:hAnsi="Arial" w:cs="Arial"/>
          <w:color w:val="auto"/>
          <w:sz w:val="24"/>
          <w:szCs w:val="24"/>
          <w:highlight w:val="none"/>
          <w:lang w:eastAsia="zh-CN"/>
        </w:rPr>
        <w:t>郑杰</w:t>
      </w:r>
    </w:p>
    <w:p>
      <w:pPr>
        <w:shd w:val="clear"/>
        <w:spacing w:line="360" w:lineRule="auto"/>
        <w:ind w:firstLine="720" w:firstLineChars="300"/>
        <w:rPr>
          <w:rFonts w:ascii="Arial" w:hAnsi="Arial" w:cs="Arial"/>
          <w:color w:val="auto"/>
          <w:sz w:val="24"/>
          <w:szCs w:val="24"/>
          <w:highlight w:val="none"/>
        </w:rPr>
      </w:pPr>
      <w:r>
        <w:rPr>
          <w:rFonts w:hint="default" w:ascii="Arial" w:hAnsi="Arial" w:cs="Arial"/>
          <w:color w:val="auto"/>
          <w:sz w:val="24"/>
          <w:szCs w:val="24"/>
          <w:highlight w:val="none"/>
        </w:rPr>
        <w:t xml:space="preserve">地址：江苏省昆山市前进东路828号 </w:t>
      </w:r>
    </w:p>
    <w:p>
      <w:p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 xml:space="preserve">      联系人：</w:t>
      </w:r>
      <w:r>
        <w:rPr>
          <w:rFonts w:hint="default" w:ascii="Arial" w:hAnsi="Arial" w:cs="Arial"/>
          <w:color w:val="auto"/>
          <w:sz w:val="24"/>
          <w:szCs w:val="24"/>
          <w:highlight w:val="none"/>
          <w:lang w:eastAsia="zh-CN"/>
        </w:rPr>
        <w:t>孙晶</w:t>
      </w:r>
      <w:r>
        <w:rPr>
          <w:rFonts w:hint="default" w:ascii="Arial" w:hAnsi="Arial" w:cs="Arial"/>
          <w:color w:val="auto"/>
          <w:sz w:val="24"/>
          <w:szCs w:val="24"/>
          <w:highlight w:val="none"/>
        </w:rPr>
        <w:t xml:space="preserve">                    联系方式：0512-57379507           </w:t>
      </w:r>
    </w:p>
    <w:p>
      <w:pPr>
        <w:shd w:val="clear"/>
        <w:spacing w:line="360" w:lineRule="auto"/>
        <w:rPr>
          <w:rFonts w:ascii="Arial" w:hAnsi="Arial" w:cs="Arial"/>
          <w:color w:val="auto"/>
          <w:sz w:val="24"/>
          <w:szCs w:val="24"/>
          <w:highlight w:val="none"/>
        </w:rPr>
      </w:pPr>
    </w:p>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乙方：</w:t>
      </w:r>
      <w:r>
        <w:rPr>
          <w:rFonts w:ascii="Arial" w:hAnsi="Arial" w:cs="Arial"/>
          <w:b/>
          <w:color w:val="auto"/>
          <w:sz w:val="24"/>
          <w:szCs w:val="24"/>
          <w:highlight w:val="none"/>
        </w:rPr>
        <w:t xml:space="preserve">    </w:t>
      </w:r>
    </w:p>
    <w:p>
      <w:pPr>
        <w:shd w:val="clear"/>
        <w:spacing w:line="360" w:lineRule="auto"/>
        <w:ind w:firstLine="720" w:firstLineChars="300"/>
        <w:rPr>
          <w:rFonts w:ascii="Arial" w:hAnsi="Arial" w:cs="Arial"/>
          <w:color w:val="auto"/>
          <w:sz w:val="24"/>
          <w:szCs w:val="24"/>
          <w:highlight w:val="none"/>
        </w:rPr>
      </w:pPr>
      <w:r>
        <w:rPr>
          <w:rFonts w:hint="default" w:ascii="Arial" w:hAnsi="Arial" w:cs="Arial"/>
          <w:color w:val="auto"/>
          <w:sz w:val="24"/>
          <w:szCs w:val="24"/>
          <w:highlight w:val="none"/>
        </w:rPr>
        <w:t xml:space="preserve">法定代表人：  </w:t>
      </w:r>
    </w:p>
    <w:p>
      <w:pPr>
        <w:shd w:val="clear"/>
        <w:spacing w:line="360" w:lineRule="auto"/>
        <w:ind w:firstLine="720" w:firstLineChars="300"/>
        <w:rPr>
          <w:rFonts w:ascii="Arial" w:hAnsi="Arial" w:cs="Arial"/>
          <w:color w:val="auto"/>
          <w:sz w:val="24"/>
          <w:szCs w:val="24"/>
          <w:highlight w:val="none"/>
        </w:rPr>
      </w:pPr>
      <w:r>
        <w:rPr>
          <w:rFonts w:hint="default" w:ascii="Arial" w:hAnsi="Arial" w:cs="Arial"/>
          <w:color w:val="auto"/>
          <w:sz w:val="24"/>
          <w:szCs w:val="24"/>
          <w:highlight w:val="none"/>
        </w:rPr>
        <w:t xml:space="preserve">地址：  </w:t>
      </w:r>
    </w:p>
    <w:p>
      <w:pPr>
        <w:shd w:val="clear"/>
        <w:spacing w:line="360" w:lineRule="auto"/>
        <w:ind w:firstLine="720" w:firstLineChars="300"/>
        <w:rPr>
          <w:rFonts w:ascii="Arial" w:hAnsi="Arial" w:cs="Arial"/>
          <w:color w:val="auto"/>
          <w:sz w:val="24"/>
          <w:szCs w:val="24"/>
          <w:highlight w:val="none"/>
        </w:rPr>
      </w:pPr>
      <w:r>
        <w:rPr>
          <w:rFonts w:hint="default" w:ascii="Arial" w:hAnsi="Arial" w:cs="Arial"/>
          <w:color w:val="auto"/>
          <w:sz w:val="24"/>
          <w:szCs w:val="24"/>
          <w:highlight w:val="none"/>
        </w:rPr>
        <w:t xml:space="preserve">联系人：                          联系方式：     </w:t>
      </w:r>
    </w:p>
    <w:p>
      <w:pPr>
        <w:shd w:val="clear"/>
        <w:spacing w:line="360" w:lineRule="auto"/>
        <w:ind w:firstLine="720" w:firstLineChars="300"/>
        <w:rPr>
          <w:rFonts w:ascii="Arial" w:hAnsi="Arial" w:cs="Arial"/>
          <w:color w:val="auto"/>
          <w:sz w:val="24"/>
          <w:szCs w:val="24"/>
          <w:highlight w:val="none"/>
        </w:rPr>
      </w:pPr>
    </w:p>
    <w:p>
      <w:pPr>
        <w:shd w:val="clear"/>
        <w:spacing w:line="360" w:lineRule="auto"/>
        <w:ind w:firstLine="480" w:firstLineChars="200"/>
        <w:rPr>
          <w:rFonts w:ascii="Arial" w:hAnsi="Arial" w:cs="Arial"/>
          <w:color w:val="auto"/>
          <w:sz w:val="24"/>
          <w:szCs w:val="24"/>
          <w:highlight w:val="none"/>
        </w:rPr>
      </w:pPr>
      <w:r>
        <w:rPr>
          <w:rFonts w:hint="default" w:ascii="Arial" w:hAnsi="Arial" w:cs="Arial"/>
          <w:color w:val="auto"/>
          <w:sz w:val="24"/>
          <w:szCs w:val="24"/>
          <w:highlight w:val="none"/>
        </w:rPr>
        <w:t>依据中华人民共和国相关法律法规的规定，甲乙双方经充分协商，就甲方委托乙方进行</w:t>
      </w:r>
      <w:r>
        <w:rPr>
          <w:rFonts w:hint="default" w:ascii="Arial" w:hAnsi="Arial" w:cs="Arial"/>
          <w:color w:val="auto"/>
          <w:sz w:val="24"/>
          <w:szCs w:val="24"/>
          <w:highlight w:val="none"/>
          <w:u w:val="single"/>
        </w:rPr>
        <w:t>昆山农商银行CMMI</w:t>
      </w:r>
      <w:r>
        <w:rPr>
          <w:rFonts w:hint="eastAsia" w:ascii="Arial" w:hAnsi="Arial" w:cs="Arial"/>
          <w:color w:val="auto"/>
          <w:sz w:val="24"/>
          <w:szCs w:val="24"/>
          <w:highlight w:val="none"/>
          <w:u w:val="single"/>
          <w:lang w:val="en-US" w:eastAsia="zh-CN"/>
        </w:rPr>
        <w:t>-L</w:t>
      </w:r>
      <w:r>
        <w:rPr>
          <w:rFonts w:hint="default" w:ascii="Arial" w:hAnsi="Arial" w:cs="Arial"/>
          <w:color w:val="auto"/>
          <w:sz w:val="24"/>
          <w:szCs w:val="24"/>
          <w:highlight w:val="none"/>
          <w:u w:val="single"/>
        </w:rPr>
        <w:t>3咨询认证复审项目（以下简称“CMMI</w:t>
      </w:r>
      <w:r>
        <w:rPr>
          <w:rFonts w:hint="eastAsia" w:ascii="Arial" w:hAnsi="Arial" w:cs="Arial"/>
          <w:color w:val="auto"/>
          <w:sz w:val="24"/>
          <w:szCs w:val="24"/>
          <w:highlight w:val="none"/>
          <w:u w:val="single"/>
          <w:lang w:val="en-US" w:eastAsia="zh-CN"/>
        </w:rPr>
        <w:t>-L</w:t>
      </w:r>
      <w:r>
        <w:rPr>
          <w:rFonts w:hint="default" w:ascii="Arial" w:hAnsi="Arial" w:cs="Arial"/>
          <w:color w:val="auto"/>
          <w:sz w:val="24"/>
          <w:szCs w:val="24"/>
          <w:highlight w:val="none"/>
          <w:u w:val="single"/>
        </w:rPr>
        <w:t>3咨询认证复审项目”）</w:t>
      </w:r>
      <w:r>
        <w:rPr>
          <w:rFonts w:hint="default" w:ascii="Arial" w:hAnsi="Arial" w:cs="Arial"/>
          <w:color w:val="auto"/>
          <w:sz w:val="24"/>
          <w:szCs w:val="24"/>
          <w:highlight w:val="none"/>
        </w:rPr>
        <w:t>的咨询服务事宜，同意按照以下条款签订本合同并执行。</w:t>
      </w:r>
    </w:p>
    <w:p>
      <w:pPr>
        <w:shd w:val="clear"/>
        <w:spacing w:line="360" w:lineRule="auto"/>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0" w:name="_Toc365467748"/>
      <w:bookmarkStart w:id="1" w:name="_Toc19857"/>
      <w:bookmarkStart w:id="2" w:name="_Toc508"/>
      <w:r>
        <w:rPr>
          <w:rFonts w:hint="default" w:ascii="Arial" w:hAnsi="Arial" w:cs="Arial"/>
          <w:b/>
          <w:color w:val="auto"/>
          <w:kern w:val="0"/>
          <w:sz w:val="24"/>
          <w:highlight w:val="none"/>
        </w:rPr>
        <w:t>项目的</w:t>
      </w:r>
      <w:bookmarkEnd w:id="0"/>
      <w:r>
        <w:rPr>
          <w:rFonts w:hint="default" w:ascii="Arial" w:hAnsi="Arial" w:cs="Arial"/>
          <w:b/>
          <w:color w:val="auto"/>
          <w:kern w:val="0"/>
          <w:sz w:val="24"/>
          <w:highlight w:val="none"/>
        </w:rPr>
        <w:t>内容和要求</w:t>
      </w:r>
      <w:bookmarkEnd w:id="1"/>
      <w:bookmarkEnd w:id="2"/>
    </w:p>
    <w:p>
      <w:pPr>
        <w:numPr>
          <w:ilvl w:val="1"/>
          <w:numId w:val="11"/>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服务的期限：</w:t>
      </w:r>
    </w:p>
    <w:p>
      <w:pPr>
        <w:shd w:val="clear"/>
        <w:spacing w:line="360" w:lineRule="auto"/>
        <w:ind w:firstLine="420"/>
        <w:rPr>
          <w:rFonts w:ascii="Arial" w:hAnsi="Arial" w:cs="Arial"/>
          <w:color w:val="auto"/>
          <w:sz w:val="24"/>
          <w:szCs w:val="24"/>
          <w:highlight w:val="none"/>
        </w:rPr>
      </w:pPr>
      <w:r>
        <w:rPr>
          <w:rFonts w:hint="default" w:ascii="Arial" w:hAnsi="Arial" w:cs="Arial"/>
          <w:color w:val="auto"/>
          <w:sz w:val="24"/>
          <w:szCs w:val="24"/>
          <w:highlight w:val="none"/>
        </w:rPr>
        <w:t xml:space="preserve">█现场：   </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年</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月</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 xml:space="preserve">日至 </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年</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月</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日</w:t>
      </w:r>
    </w:p>
    <w:p>
      <w:pPr>
        <w:shd w:val="clear"/>
        <w:spacing w:line="360" w:lineRule="auto"/>
        <w:ind w:firstLine="420"/>
        <w:rPr>
          <w:rFonts w:ascii="Arial" w:hAnsi="Arial" w:cs="Arial"/>
          <w:color w:val="auto"/>
          <w:sz w:val="24"/>
          <w:szCs w:val="24"/>
          <w:highlight w:val="none"/>
        </w:rPr>
      </w:pPr>
      <w:r>
        <w:rPr>
          <w:rFonts w:hint="default" w:ascii="Arial" w:hAnsi="Arial" w:cs="Arial"/>
          <w:color w:val="auto"/>
          <w:sz w:val="24"/>
          <w:szCs w:val="24"/>
          <w:highlight w:val="none"/>
        </w:rPr>
        <w:t xml:space="preserve">□非现场： </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年</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月</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 xml:space="preserve">日至 </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年</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月</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日</w:t>
      </w:r>
    </w:p>
    <w:p>
      <w:pPr>
        <w:numPr>
          <w:ilvl w:val="1"/>
          <w:numId w:val="11"/>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服务内容：</w:t>
      </w:r>
      <w:r>
        <w:rPr>
          <w:rFonts w:hint="default" w:ascii="Arial" w:hAnsi="Arial" w:cs="Arial"/>
          <w:color w:val="auto"/>
          <w:sz w:val="24"/>
          <w:szCs w:val="24"/>
          <w:highlight w:val="none"/>
          <w:u w:val="single"/>
        </w:rPr>
        <w:t>CMMI</w:t>
      </w:r>
      <w:r>
        <w:rPr>
          <w:rFonts w:hint="eastAsia" w:ascii="Arial" w:hAnsi="Arial" w:cs="Arial"/>
          <w:color w:val="auto"/>
          <w:sz w:val="24"/>
          <w:szCs w:val="24"/>
          <w:highlight w:val="none"/>
          <w:u w:val="single"/>
          <w:lang w:val="en-US" w:eastAsia="zh-CN"/>
        </w:rPr>
        <w:t>-L</w:t>
      </w:r>
      <w:r>
        <w:rPr>
          <w:rFonts w:hint="default" w:ascii="Arial" w:hAnsi="Arial" w:cs="Arial"/>
          <w:color w:val="auto"/>
          <w:sz w:val="24"/>
          <w:szCs w:val="24"/>
          <w:highlight w:val="none"/>
          <w:u w:val="single"/>
        </w:rPr>
        <w:t>3咨询认证复审评估，详见附件《工作说明书》</w:t>
      </w:r>
    </w:p>
    <w:p>
      <w:pPr>
        <w:numPr>
          <w:ilvl w:val="1"/>
          <w:numId w:val="11"/>
        </w:numPr>
        <w:shd w:val="clear"/>
        <w:spacing w:line="360" w:lineRule="auto"/>
        <w:rPr>
          <w:rFonts w:ascii="Arial" w:hAnsi="Arial" w:cs="Arial"/>
          <w:color w:val="auto"/>
          <w:sz w:val="24"/>
          <w:szCs w:val="24"/>
          <w:highlight w:val="none"/>
          <w:u w:val="single"/>
        </w:rPr>
      </w:pPr>
      <w:r>
        <w:rPr>
          <w:rFonts w:hint="default" w:ascii="Arial" w:hAnsi="Arial" w:cs="Arial"/>
          <w:color w:val="auto"/>
          <w:sz w:val="24"/>
          <w:szCs w:val="24"/>
          <w:highlight w:val="none"/>
        </w:rPr>
        <w:t>服务目标：</w:t>
      </w:r>
      <w:r>
        <w:rPr>
          <w:rFonts w:hint="default" w:ascii="Arial" w:hAnsi="Arial" w:cs="Arial"/>
          <w:color w:val="auto"/>
          <w:sz w:val="24"/>
          <w:szCs w:val="24"/>
          <w:highlight w:val="none"/>
          <w:u w:val="single"/>
        </w:rPr>
        <w:t>通过CMMI-ML3咨询复审评估并获得证书、</w:t>
      </w:r>
      <w:r>
        <w:rPr>
          <w:rFonts w:ascii="Arial" w:hAnsi="Arial" w:cs="Arial"/>
          <w:color w:val="auto"/>
          <w:sz w:val="24"/>
          <w:szCs w:val="24"/>
          <w:highlight w:val="none"/>
          <w:u w:val="single"/>
        </w:rPr>
        <w:t>提供</w:t>
      </w:r>
      <w:r>
        <w:rPr>
          <w:rFonts w:hint="default" w:ascii="Arial" w:hAnsi="Arial" w:cs="Arial"/>
          <w:color w:val="auto"/>
          <w:sz w:val="24"/>
          <w:szCs w:val="24"/>
          <w:highlight w:val="none"/>
          <w:u w:val="single"/>
        </w:rPr>
        <w:t>过程</w:t>
      </w:r>
      <w:r>
        <w:rPr>
          <w:rFonts w:ascii="Arial" w:hAnsi="Arial" w:cs="Arial"/>
          <w:color w:val="auto"/>
          <w:sz w:val="24"/>
          <w:szCs w:val="24"/>
          <w:highlight w:val="none"/>
          <w:u w:val="single"/>
        </w:rPr>
        <w:t>改进相关培训</w:t>
      </w:r>
    </w:p>
    <w:p>
      <w:pPr>
        <w:numPr>
          <w:ilvl w:val="1"/>
          <w:numId w:val="11"/>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服务地点：</w:t>
      </w:r>
      <w:r>
        <w:rPr>
          <w:rFonts w:hint="default" w:ascii="Arial" w:hAnsi="Arial" w:cs="Arial"/>
          <w:color w:val="auto"/>
          <w:sz w:val="24"/>
          <w:szCs w:val="24"/>
          <w:highlight w:val="none"/>
          <w:u w:val="single"/>
        </w:rPr>
        <w:t>江苏昆山</w:t>
      </w:r>
    </w:p>
    <w:p>
      <w:pPr>
        <w:numPr>
          <w:ilvl w:val="1"/>
          <w:numId w:val="11"/>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甲方指定</w:t>
      </w:r>
      <w:r>
        <w:rPr>
          <w:rFonts w:hint="default" w:ascii="Arial" w:hAnsi="Arial" w:cs="Arial"/>
          <w:color w:val="auto"/>
          <w:sz w:val="24"/>
          <w:szCs w:val="24"/>
          <w:highlight w:val="none"/>
          <w:u w:val="single"/>
          <w:lang w:eastAsia="zh-CN"/>
        </w:rPr>
        <w:t>曹廷玖</w:t>
      </w:r>
      <w:r>
        <w:rPr>
          <w:rFonts w:hint="default" w:ascii="Arial" w:hAnsi="Arial" w:cs="Arial"/>
          <w:color w:val="auto"/>
          <w:sz w:val="24"/>
          <w:szCs w:val="24"/>
          <w:highlight w:val="none"/>
        </w:rPr>
        <w:t>为甲方项目联系人，联系方式</w:t>
      </w:r>
      <w:r>
        <w:rPr>
          <w:rFonts w:hint="default" w:ascii="Arial" w:hAnsi="Arial" w:cs="Arial"/>
          <w:color w:val="auto"/>
          <w:sz w:val="24"/>
          <w:szCs w:val="24"/>
          <w:highlight w:val="none"/>
          <w:u w:val="single"/>
          <w:lang w:val="en-US" w:eastAsia="zh-CN"/>
        </w:rPr>
        <w:t>18912681083</w:t>
      </w:r>
      <w:r>
        <w:rPr>
          <w:rFonts w:hint="default" w:ascii="Arial" w:hAnsi="Arial" w:cs="Arial"/>
          <w:color w:val="auto"/>
          <w:sz w:val="24"/>
          <w:szCs w:val="24"/>
          <w:highlight w:val="none"/>
        </w:rPr>
        <w:t>。</w:t>
      </w:r>
    </w:p>
    <w:p>
      <w:pPr>
        <w:shd w:val="clear"/>
        <w:spacing w:line="360" w:lineRule="auto"/>
        <w:ind w:left="454"/>
        <w:rPr>
          <w:rFonts w:ascii="Arial" w:hAnsi="Arial" w:cs="Arial"/>
          <w:color w:val="auto"/>
          <w:sz w:val="24"/>
          <w:szCs w:val="24"/>
          <w:highlight w:val="none"/>
        </w:rPr>
      </w:pPr>
      <w:r>
        <w:rPr>
          <w:rFonts w:hint="default" w:ascii="Arial" w:hAnsi="Arial" w:cs="Arial"/>
          <w:color w:val="auto"/>
          <w:sz w:val="24"/>
          <w:szCs w:val="24"/>
          <w:highlight w:val="none"/>
        </w:rPr>
        <w:t>乙方指定</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为乙方项目联系人，联系方式</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w:t>
      </w:r>
    </w:p>
    <w:p>
      <w:pPr>
        <w:shd w:val="clear"/>
        <w:spacing w:line="360" w:lineRule="auto"/>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3" w:name="_Toc17115"/>
      <w:bookmarkStart w:id="4" w:name="_Toc365467749"/>
      <w:bookmarkStart w:id="5" w:name="_Toc29724"/>
      <w:r>
        <w:rPr>
          <w:rFonts w:hint="default" w:ascii="Arial" w:hAnsi="Arial" w:cs="Arial"/>
          <w:b/>
          <w:color w:val="auto"/>
          <w:kern w:val="0"/>
          <w:sz w:val="24"/>
          <w:highlight w:val="none"/>
        </w:rPr>
        <w:t>项目的验收</w:t>
      </w:r>
      <w:bookmarkEnd w:id="3"/>
      <w:bookmarkEnd w:id="4"/>
      <w:bookmarkEnd w:id="5"/>
    </w:p>
    <w:p>
      <w:pPr>
        <w:numPr>
          <w:ilvl w:val="1"/>
          <w:numId w:val="12"/>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乙方完成咨询服务后，应通知甲方验收，甲方负责本合同服务内容的验收。</w:t>
      </w:r>
    </w:p>
    <w:p>
      <w:pPr>
        <w:numPr>
          <w:ilvl w:val="1"/>
          <w:numId w:val="12"/>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甲方指派专人组成验收小组对乙方提供的服务进行验收。如验收小组中有</w:t>
      </w:r>
      <w:r>
        <w:rPr>
          <w:rFonts w:hint="default" w:ascii="Arial" w:hAnsi="Arial" w:cs="Arial"/>
          <w:color w:val="auto"/>
          <w:sz w:val="24"/>
          <w:szCs w:val="24"/>
          <w:highlight w:val="none"/>
          <w:u w:val="single"/>
        </w:rPr>
        <w:t>50</w:t>
      </w:r>
      <w:r>
        <w:rPr>
          <w:rFonts w:hint="default" w:ascii="Arial" w:hAnsi="Arial" w:cs="Arial"/>
          <w:color w:val="auto"/>
          <w:sz w:val="24"/>
          <w:szCs w:val="24"/>
          <w:highlight w:val="none"/>
        </w:rPr>
        <w:t>%以上成员认为乙方提供的服务不符合验收标准，则视为乙方提供的服务验收不合格。验收合格的，甲方应出具验收报告交付乙方。</w:t>
      </w:r>
    </w:p>
    <w:p>
      <w:pPr>
        <w:numPr>
          <w:ilvl w:val="1"/>
          <w:numId w:val="12"/>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验收应在收到乙方通知后的</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天内结束。如果因为甲方的原因未能在该验收期限内完成验收，双方可协商适当延长验收期限。</w:t>
      </w:r>
    </w:p>
    <w:p>
      <w:pPr>
        <w:numPr>
          <w:ilvl w:val="1"/>
          <w:numId w:val="12"/>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验收不合格的，乙方应在</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 xml:space="preserve">日内做出响应，并在 </w:t>
      </w:r>
      <w:r>
        <w:rPr>
          <w:rFonts w:hint="default" w:ascii="Arial" w:hAnsi="Arial" w:cs="Arial"/>
          <w:i/>
          <w:iCs/>
          <w:color w:val="auto"/>
          <w:sz w:val="24"/>
          <w:szCs w:val="24"/>
          <w:highlight w:val="none"/>
          <w:u w:val="single"/>
        </w:rPr>
        <w:t xml:space="preserve">一周… </w:t>
      </w:r>
      <w:r>
        <w:rPr>
          <w:rFonts w:hint="default" w:ascii="Arial" w:hAnsi="Arial" w:cs="Arial"/>
          <w:color w:val="auto"/>
          <w:sz w:val="24"/>
          <w:szCs w:val="24"/>
          <w:highlight w:val="none"/>
        </w:rPr>
        <w:t>内修改完善再次提交验收。</w:t>
      </w:r>
    </w:p>
    <w:p>
      <w:pPr>
        <w:shd w:val="clear"/>
        <w:spacing w:line="360" w:lineRule="auto"/>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6" w:name="_Toc30563"/>
      <w:r>
        <w:rPr>
          <w:rFonts w:hint="default" w:ascii="Arial" w:hAnsi="Arial" w:cs="Arial"/>
          <w:b/>
          <w:color w:val="auto"/>
          <w:kern w:val="0"/>
          <w:sz w:val="24"/>
          <w:highlight w:val="none"/>
        </w:rPr>
        <w:t>项目的交付</w:t>
      </w:r>
      <w:bookmarkEnd w:id="6"/>
    </w:p>
    <w:p>
      <w:pPr>
        <w:numPr>
          <w:ilvl w:val="1"/>
          <w:numId w:val="13"/>
        </w:numPr>
        <w:shd w:val="clear"/>
        <w:spacing w:line="360" w:lineRule="auto"/>
        <w:jc w:val="left"/>
        <w:rPr>
          <w:rFonts w:ascii="Arial" w:hAnsi="Arial" w:cs="Arial"/>
          <w:color w:val="auto"/>
          <w:sz w:val="24"/>
          <w:szCs w:val="24"/>
          <w:highlight w:val="none"/>
        </w:rPr>
      </w:pPr>
      <w:r>
        <w:rPr>
          <w:rFonts w:hint="default" w:ascii="Arial" w:hAnsi="Arial" w:cs="Arial"/>
          <w:color w:val="auto"/>
          <w:sz w:val="24"/>
          <w:szCs w:val="24"/>
          <w:highlight w:val="none"/>
        </w:rPr>
        <w:t>本次项目验收合格后交付物为：</w:t>
      </w:r>
    </w:p>
    <w:p>
      <w:pPr>
        <w:shd w:val="clear"/>
        <w:spacing w:line="360" w:lineRule="auto"/>
        <w:ind w:firstLine="420"/>
        <w:rPr>
          <w:rFonts w:ascii="Arial" w:hAnsi="Arial" w:cs="Arial"/>
          <w:color w:val="auto"/>
          <w:sz w:val="24"/>
          <w:szCs w:val="24"/>
          <w:highlight w:val="none"/>
        </w:rPr>
      </w:pPr>
      <w:r>
        <w:rPr>
          <w:rFonts w:hint="default" w:ascii="Arial" w:hAnsi="Arial" w:cs="Arial"/>
          <w:color w:val="auto"/>
          <w:sz w:val="24"/>
          <w:szCs w:val="24"/>
          <w:highlight w:val="none"/>
        </w:rPr>
        <w:t>□本合同项目所涉及内容：</w:t>
      </w:r>
    </w:p>
    <w:tbl>
      <w:tblPr>
        <w:tblStyle w:val="13"/>
        <w:tblW w:w="84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02"/>
        <w:gridCol w:w="3260"/>
        <w:gridCol w:w="2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hRule="atLeast"/>
        </w:trPr>
        <w:tc>
          <w:tcPr>
            <w:tcW w:w="2802" w:type="dxa"/>
          </w:tcPr>
          <w:p>
            <w:pPr>
              <w:shd w:val="clear"/>
              <w:spacing w:line="360" w:lineRule="auto"/>
              <w:ind w:firstLine="480" w:firstLineChars="200"/>
              <w:rPr>
                <w:rFonts w:ascii="Arial" w:hAnsi="Arial" w:cs="Arial"/>
                <w:color w:val="auto"/>
                <w:szCs w:val="21"/>
                <w:highlight w:val="none"/>
              </w:rPr>
            </w:pPr>
            <w:r>
              <w:rPr>
                <w:rFonts w:hint="default" w:ascii="Arial" w:hAnsi="Arial" w:cs="Arial"/>
                <w:color w:val="auto"/>
                <w:sz w:val="24"/>
                <w:szCs w:val="24"/>
                <w:highlight w:val="none"/>
              </w:rPr>
              <w:sym w:font="Wingdings 2" w:char="00A3"/>
            </w:r>
            <w:r>
              <w:rPr>
                <w:rFonts w:hint="default" w:ascii="Arial" w:hAnsi="Arial" w:cs="Arial"/>
                <w:color w:val="auto"/>
                <w:szCs w:val="21"/>
                <w:highlight w:val="none"/>
              </w:rPr>
              <w:t>分析评估报告</w:t>
            </w:r>
          </w:p>
        </w:tc>
        <w:tc>
          <w:tcPr>
            <w:tcW w:w="3260" w:type="dxa"/>
          </w:tcPr>
          <w:p>
            <w:pPr>
              <w:shd w:val="clear"/>
              <w:spacing w:line="360" w:lineRule="auto"/>
              <w:ind w:left="454"/>
              <w:rPr>
                <w:rFonts w:ascii="Arial" w:hAnsi="Arial" w:cs="Arial"/>
                <w:color w:val="auto"/>
                <w:szCs w:val="21"/>
                <w:highlight w:val="none"/>
              </w:rPr>
            </w:pPr>
            <w:r>
              <w:rPr>
                <w:rFonts w:hint="default" w:ascii="Arial" w:hAnsi="Arial" w:cs="Arial"/>
                <w:color w:val="auto"/>
                <w:sz w:val="24"/>
                <w:szCs w:val="24"/>
                <w:highlight w:val="none"/>
              </w:rPr>
              <w:t>□</w:t>
            </w:r>
            <w:r>
              <w:rPr>
                <w:rFonts w:hint="default" w:ascii="Arial" w:hAnsi="Arial" w:cs="Arial"/>
                <w:color w:val="auto"/>
                <w:szCs w:val="21"/>
                <w:highlight w:val="none"/>
              </w:rPr>
              <w:t>项目服务总结</w:t>
            </w:r>
          </w:p>
        </w:tc>
        <w:tc>
          <w:tcPr>
            <w:tcW w:w="2354" w:type="dxa"/>
          </w:tcPr>
          <w:p>
            <w:pPr>
              <w:shd w:val="clear"/>
              <w:spacing w:line="360" w:lineRule="auto"/>
              <w:ind w:left="454"/>
              <w:rPr>
                <w:rFonts w:ascii="Arial" w:hAnsi="Arial" w:cs="Arial"/>
                <w:color w:val="auto"/>
                <w:szCs w:val="21"/>
                <w:highlight w:val="none"/>
              </w:rPr>
            </w:pPr>
            <w:r>
              <w:rPr>
                <w:rFonts w:hint="default" w:ascii="Arial" w:hAnsi="Arial" w:cs="Arial"/>
                <w:color w:val="auto"/>
                <w:sz w:val="24"/>
                <w:szCs w:val="24"/>
                <w:highlight w:val="none"/>
              </w:rPr>
              <w:t>□</w:t>
            </w:r>
            <w:r>
              <w:rPr>
                <w:rFonts w:hint="default" w:ascii="Arial" w:hAnsi="Arial" w:cs="Arial"/>
                <w:color w:val="auto"/>
                <w:szCs w:val="21"/>
                <w:highlight w:val="none"/>
              </w:rPr>
              <w:t>验收报告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802" w:type="dxa"/>
          </w:tcPr>
          <w:p>
            <w:pPr>
              <w:shd w:val="clear"/>
              <w:spacing w:line="360" w:lineRule="auto"/>
              <w:ind w:left="424" w:leftChars="202"/>
              <w:rPr>
                <w:rFonts w:ascii="Arial" w:hAnsi="Arial" w:cs="Arial"/>
                <w:color w:val="auto"/>
                <w:szCs w:val="21"/>
                <w:highlight w:val="none"/>
              </w:rPr>
            </w:pPr>
            <w:r>
              <w:rPr>
                <w:rFonts w:hint="default" w:ascii="Arial" w:hAnsi="Arial" w:cs="Arial"/>
                <w:color w:val="auto"/>
                <w:sz w:val="24"/>
                <w:szCs w:val="24"/>
                <w:highlight w:val="none"/>
              </w:rPr>
              <w:sym w:font="Wingdings 2" w:char="00A3"/>
            </w:r>
            <w:r>
              <w:rPr>
                <w:rFonts w:hint="default" w:ascii="Arial" w:hAnsi="Arial" w:cs="Arial"/>
                <w:color w:val="auto"/>
                <w:szCs w:val="21"/>
                <w:highlight w:val="none"/>
              </w:rPr>
              <w:t>评测方案</w:t>
            </w:r>
          </w:p>
        </w:tc>
        <w:tc>
          <w:tcPr>
            <w:tcW w:w="3260" w:type="dxa"/>
          </w:tcPr>
          <w:p>
            <w:pPr>
              <w:shd w:val="clear"/>
              <w:spacing w:line="360" w:lineRule="auto"/>
              <w:ind w:left="454"/>
              <w:rPr>
                <w:rFonts w:ascii="Arial" w:hAnsi="Arial" w:cs="Arial"/>
                <w:color w:val="auto"/>
                <w:szCs w:val="21"/>
                <w:highlight w:val="none"/>
                <w:u w:val="single"/>
              </w:rPr>
            </w:pPr>
            <w:r>
              <w:rPr>
                <w:rFonts w:hint="default" w:ascii="Arial" w:hAnsi="Arial" w:cs="Arial"/>
                <w:color w:val="auto"/>
                <w:sz w:val="24"/>
                <w:szCs w:val="24"/>
                <w:highlight w:val="none"/>
              </w:rPr>
              <w:t>□</w:t>
            </w:r>
            <w:r>
              <w:rPr>
                <w:rFonts w:hint="default" w:ascii="Arial" w:hAnsi="Arial" w:cs="Arial"/>
                <w:color w:val="auto"/>
                <w:szCs w:val="21"/>
                <w:highlight w:val="none"/>
              </w:rPr>
              <w:t>整改建议书</w:t>
            </w:r>
          </w:p>
        </w:tc>
        <w:tc>
          <w:tcPr>
            <w:tcW w:w="2354" w:type="dxa"/>
          </w:tcPr>
          <w:p>
            <w:pPr>
              <w:shd w:val="clear"/>
              <w:spacing w:line="360" w:lineRule="auto"/>
              <w:ind w:left="454"/>
              <w:rPr>
                <w:rFonts w:ascii="Arial" w:hAnsi="Arial" w:cs="Arial"/>
                <w:color w:val="auto"/>
                <w:szCs w:val="21"/>
                <w:highlight w:val="none"/>
              </w:rPr>
            </w:pPr>
            <w:r>
              <w:rPr>
                <w:rFonts w:hint="default" w:ascii="Arial" w:hAnsi="Arial" w:cs="Arial"/>
                <w:color w:val="auto"/>
                <w:sz w:val="24"/>
                <w:szCs w:val="24"/>
                <w:highlight w:val="none"/>
              </w:rPr>
              <w:t>□</w:t>
            </w:r>
            <w:r>
              <w:rPr>
                <w:rFonts w:hint="default" w:ascii="Arial" w:hAnsi="Arial" w:cs="Arial"/>
                <w:color w:val="auto"/>
                <w:szCs w:val="21"/>
                <w:highlight w:val="none"/>
              </w:rPr>
              <w:t>项目实施计划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802" w:type="dxa"/>
          </w:tcPr>
          <w:p>
            <w:pPr>
              <w:shd w:val="clear"/>
              <w:spacing w:line="360" w:lineRule="auto"/>
              <w:ind w:left="454"/>
              <w:rPr>
                <w:rFonts w:ascii="Arial" w:hAnsi="Arial" w:cs="Arial"/>
                <w:color w:val="auto"/>
                <w:szCs w:val="21"/>
                <w:highlight w:val="none"/>
              </w:rPr>
            </w:pPr>
            <w:r>
              <w:rPr>
                <w:rFonts w:hint="default" w:ascii="Arial" w:hAnsi="Arial" w:cs="Arial"/>
                <w:color w:val="auto"/>
                <w:sz w:val="24"/>
                <w:szCs w:val="24"/>
                <w:highlight w:val="none"/>
              </w:rPr>
              <w:sym w:font="Wingdings 2" w:char="00A3"/>
            </w:r>
            <w:r>
              <w:rPr>
                <w:rFonts w:hint="default" w:ascii="Arial" w:hAnsi="Arial" w:cs="Arial"/>
                <w:color w:val="auto"/>
                <w:szCs w:val="21"/>
                <w:highlight w:val="none"/>
              </w:rPr>
              <w:t>评测报告</w:t>
            </w:r>
          </w:p>
        </w:tc>
        <w:tc>
          <w:tcPr>
            <w:tcW w:w="3260" w:type="dxa"/>
          </w:tcPr>
          <w:p>
            <w:pPr>
              <w:shd w:val="clear"/>
              <w:spacing w:line="360" w:lineRule="auto"/>
              <w:ind w:left="454"/>
              <w:rPr>
                <w:rFonts w:ascii="Arial" w:hAnsi="Arial" w:cs="Arial"/>
                <w:color w:val="auto"/>
                <w:szCs w:val="21"/>
                <w:highlight w:val="none"/>
              </w:rPr>
            </w:pPr>
          </w:p>
        </w:tc>
        <w:tc>
          <w:tcPr>
            <w:tcW w:w="2354" w:type="dxa"/>
          </w:tcPr>
          <w:p>
            <w:pPr>
              <w:shd w:val="clear"/>
              <w:spacing w:line="360" w:lineRule="auto"/>
              <w:ind w:left="454"/>
              <w:rPr>
                <w:rFonts w:ascii="Arial" w:hAnsi="Arial" w:cs="Arial"/>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16" w:type="dxa"/>
            <w:gridSpan w:val="3"/>
          </w:tcPr>
          <w:p>
            <w:pPr>
              <w:shd w:val="clear"/>
              <w:spacing w:line="360" w:lineRule="auto"/>
              <w:ind w:left="454"/>
              <w:rPr>
                <w:rFonts w:ascii="Arial" w:hAnsi="Arial" w:cs="Arial"/>
                <w:color w:val="auto"/>
                <w:szCs w:val="21"/>
                <w:highlight w:val="none"/>
              </w:rPr>
            </w:pPr>
            <w:r>
              <w:rPr>
                <w:rFonts w:hint="default" w:ascii="Arial" w:hAnsi="Arial" w:cs="Arial"/>
                <w:color w:val="auto"/>
                <w:sz w:val="24"/>
                <w:szCs w:val="24"/>
                <w:highlight w:val="none"/>
              </w:rPr>
              <w:t>□</w:t>
            </w:r>
            <w:r>
              <w:rPr>
                <w:rFonts w:hint="default" w:ascii="Arial" w:hAnsi="Arial" w:cs="Arial"/>
                <w:color w:val="auto"/>
                <w:szCs w:val="21"/>
                <w:highlight w:val="none"/>
              </w:rPr>
              <w:t>其他补充：</w:t>
            </w:r>
            <w:r>
              <w:rPr>
                <w:rFonts w:hint="default" w:ascii="Arial" w:hAnsi="Arial" w:cs="Arial"/>
                <w:color w:val="auto"/>
                <w:szCs w:val="21"/>
                <w:highlight w:val="none"/>
                <w:u w:val="single"/>
              </w:rPr>
              <w:t xml:space="preserve">                      </w:t>
            </w:r>
          </w:p>
        </w:tc>
      </w:tr>
    </w:tbl>
    <w:p>
      <w:pPr>
        <w:shd w:val="clear"/>
        <w:spacing w:line="360" w:lineRule="auto"/>
        <w:rPr>
          <w:rFonts w:ascii="Arial" w:hAnsi="Arial" w:cs="Arial"/>
          <w:color w:val="auto"/>
          <w:szCs w:val="21"/>
          <w:highlight w:val="none"/>
        </w:rPr>
      </w:pPr>
    </w:p>
    <w:p>
      <w:pPr>
        <w:shd w:val="clear"/>
        <w:spacing w:line="360" w:lineRule="auto"/>
        <w:ind w:firstLine="420"/>
        <w:rPr>
          <w:rFonts w:ascii="Arial" w:hAnsi="Arial" w:cs="Arial"/>
          <w:color w:val="auto"/>
          <w:sz w:val="24"/>
          <w:szCs w:val="24"/>
          <w:highlight w:val="none"/>
        </w:rPr>
      </w:pPr>
      <w:r>
        <w:rPr>
          <w:rFonts w:hint="default" w:ascii="Arial" w:hAnsi="Arial" w:cs="Arial"/>
          <w:color w:val="auto"/>
          <w:sz w:val="24"/>
          <w:szCs w:val="24"/>
          <w:highlight w:val="none"/>
        </w:rPr>
        <w:t>□具体交付物及名称清单详见本合同附件《</w:t>
      </w:r>
      <w:r>
        <w:rPr>
          <w:rFonts w:hint="default" w:ascii="Arial" w:hAnsi="Arial" w:cs="Arial"/>
          <w:i/>
          <w:iCs/>
          <w:color w:val="auto"/>
          <w:sz w:val="24"/>
          <w:szCs w:val="24"/>
          <w:highlight w:val="none"/>
          <w:u w:val="single"/>
        </w:rPr>
        <w:t>工作说明书</w:t>
      </w:r>
      <w:r>
        <w:rPr>
          <w:rFonts w:hint="default" w:ascii="Arial" w:hAnsi="Arial" w:cs="Arial"/>
          <w:color w:val="auto"/>
          <w:sz w:val="24"/>
          <w:szCs w:val="24"/>
          <w:highlight w:val="none"/>
        </w:rPr>
        <w:t>》。</w:t>
      </w:r>
    </w:p>
    <w:p>
      <w:pPr>
        <w:shd w:val="clear"/>
        <w:spacing w:line="360" w:lineRule="auto"/>
        <w:ind w:left="555"/>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7" w:name="_Toc6750"/>
      <w:bookmarkStart w:id="8" w:name="_Toc365467751"/>
      <w:bookmarkStart w:id="9" w:name="_Toc16200"/>
      <w:r>
        <w:rPr>
          <w:rFonts w:hint="default" w:ascii="Arial" w:hAnsi="Arial" w:cs="Arial"/>
          <w:b/>
          <w:color w:val="auto"/>
          <w:kern w:val="0"/>
          <w:sz w:val="24"/>
          <w:highlight w:val="none"/>
        </w:rPr>
        <w:t>甲方权利义务</w:t>
      </w:r>
      <w:bookmarkEnd w:id="7"/>
      <w:bookmarkEnd w:id="8"/>
      <w:bookmarkEnd w:id="9"/>
    </w:p>
    <w:p>
      <w:pPr>
        <w:numPr>
          <w:ilvl w:val="1"/>
          <w:numId w:val="14"/>
        </w:numPr>
        <w:shd w:val="clear"/>
        <w:spacing w:line="360" w:lineRule="auto"/>
        <w:rPr>
          <w:rFonts w:ascii="Arial" w:hAnsi="Arial" w:cs="Arial"/>
          <w:color w:val="auto"/>
          <w:sz w:val="24"/>
          <w:szCs w:val="24"/>
          <w:highlight w:val="none"/>
          <w:lang w:val="zh-CN"/>
        </w:rPr>
      </w:pPr>
      <w:r>
        <w:rPr>
          <w:rFonts w:hint="default" w:ascii="Arial" w:hAnsi="Arial" w:cs="Arial"/>
          <w:color w:val="auto"/>
          <w:sz w:val="24"/>
          <w:szCs w:val="24"/>
          <w:highlight w:val="none"/>
          <w:lang w:val="zh-CN"/>
        </w:rPr>
        <w:t>甲方应向乙方提供咨询服务所需要的资料和数据，参与整个项目的全过程，协助配合乙方做好资料收集、现状分析讨论、需求调研、方案设计等工作，对各阶段服务内容的报告及时确认，组织相关部门参加各阶段验收工作。</w:t>
      </w:r>
    </w:p>
    <w:p>
      <w:pPr>
        <w:numPr>
          <w:ilvl w:val="1"/>
          <w:numId w:val="14"/>
        </w:numPr>
        <w:shd w:val="clear"/>
        <w:spacing w:line="360" w:lineRule="auto"/>
        <w:rPr>
          <w:rFonts w:ascii="Arial" w:hAnsi="Arial" w:cs="Arial"/>
          <w:color w:val="auto"/>
          <w:sz w:val="24"/>
          <w:szCs w:val="24"/>
          <w:highlight w:val="none"/>
          <w:lang w:val="zh-CN"/>
        </w:rPr>
      </w:pPr>
      <w:r>
        <w:rPr>
          <w:rFonts w:hint="default" w:ascii="Arial" w:hAnsi="Arial" w:cs="Arial"/>
          <w:color w:val="auto"/>
          <w:sz w:val="24"/>
          <w:szCs w:val="24"/>
          <w:highlight w:val="none"/>
          <w:lang w:val="zh-CN"/>
        </w:rPr>
        <w:t>甲方应协调相关部门配合乙方工作，并提供必要的工作环境。</w:t>
      </w:r>
    </w:p>
    <w:p>
      <w:pPr>
        <w:numPr>
          <w:ilvl w:val="1"/>
          <w:numId w:val="14"/>
        </w:numPr>
        <w:shd w:val="clear"/>
        <w:spacing w:line="360" w:lineRule="auto"/>
        <w:rPr>
          <w:rFonts w:ascii="Arial" w:hAnsi="Arial" w:cs="Arial"/>
          <w:color w:val="auto"/>
          <w:sz w:val="24"/>
          <w:szCs w:val="24"/>
          <w:highlight w:val="none"/>
          <w:lang w:val="zh-CN"/>
        </w:rPr>
      </w:pPr>
      <w:r>
        <w:rPr>
          <w:rFonts w:hint="default" w:ascii="Arial" w:hAnsi="Arial" w:cs="Arial"/>
          <w:color w:val="auto"/>
          <w:sz w:val="24"/>
          <w:szCs w:val="24"/>
          <w:highlight w:val="none"/>
          <w:lang w:val="zh-CN"/>
        </w:rPr>
        <w:t>甲方应配合乙方的培训、售后服务工作。</w:t>
      </w:r>
    </w:p>
    <w:p>
      <w:pPr>
        <w:shd w:val="clear"/>
        <w:spacing w:line="360" w:lineRule="auto"/>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10" w:name="_Toc5727"/>
      <w:bookmarkStart w:id="11" w:name="_Toc365467752"/>
      <w:bookmarkStart w:id="12" w:name="_Toc31313"/>
      <w:r>
        <w:rPr>
          <w:rFonts w:hint="default" w:ascii="Arial" w:hAnsi="Arial" w:cs="Arial"/>
          <w:b/>
          <w:color w:val="auto"/>
          <w:kern w:val="0"/>
          <w:sz w:val="24"/>
          <w:highlight w:val="none"/>
        </w:rPr>
        <w:t>乙方权利义务</w:t>
      </w:r>
      <w:bookmarkEnd w:id="10"/>
      <w:bookmarkEnd w:id="11"/>
      <w:bookmarkEnd w:id="12"/>
    </w:p>
    <w:p>
      <w:pPr>
        <w:numPr>
          <w:ilvl w:val="1"/>
          <w:numId w:val="15"/>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保证提供服务的团队人员的数量和素质满足履行本合同的要求；保证团队的稳定性，未经甲方同意不得随意更换团队成员；如果乙方团队成员不满足项目要求，乙方应根据要求更换；（团队成员名单如有，见附件）</w:t>
      </w:r>
    </w:p>
    <w:p>
      <w:pPr>
        <w:numPr>
          <w:ilvl w:val="1"/>
          <w:numId w:val="15"/>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lang w:val="zh-CN"/>
        </w:rPr>
        <w:t>乙方有义务按照甲方要求对所提供的服务做出调整，以达到优化目的</w:t>
      </w:r>
      <w:r>
        <w:rPr>
          <w:rFonts w:hint="default" w:ascii="Arial" w:hAnsi="Arial" w:cs="Arial"/>
          <w:color w:val="auto"/>
          <w:sz w:val="24"/>
          <w:szCs w:val="24"/>
          <w:highlight w:val="none"/>
        </w:rPr>
        <w:t>。</w:t>
      </w:r>
    </w:p>
    <w:p>
      <w:pPr>
        <w:numPr>
          <w:ilvl w:val="1"/>
          <w:numId w:val="15"/>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乙方应为甲方提供本合同规定的技术支持及培训。</w:t>
      </w:r>
    </w:p>
    <w:p>
      <w:pPr>
        <w:numPr>
          <w:ilvl w:val="1"/>
          <w:numId w:val="15"/>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乙方在为甲方提供服务的过程中，应配合甲方进行相应的人员管理工作，驻场工作人员须遵守相应的规章制度。</w:t>
      </w:r>
    </w:p>
    <w:p>
      <w:pPr>
        <w:numPr>
          <w:ilvl w:val="1"/>
          <w:numId w:val="15"/>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lang w:val="zh-CN"/>
        </w:rPr>
        <w:t>服务完成后，乙方应提供有关的技术资料和必要的技术指导，并保证甲方能正确、安全、有效的使用服务成果。</w:t>
      </w:r>
    </w:p>
    <w:p>
      <w:pPr>
        <w:numPr>
          <w:ilvl w:val="1"/>
          <w:numId w:val="15"/>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lang w:val="zh-CN"/>
        </w:rPr>
        <w:t>乙方有义务按照甲方要求对所提供的服务做出调整，以达到优化目的。</w:t>
      </w:r>
    </w:p>
    <w:p>
      <w:pPr>
        <w:numPr>
          <w:ilvl w:val="1"/>
          <w:numId w:val="15"/>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乙方在咨询服务过程中应当：</w:t>
      </w:r>
    </w:p>
    <w:p>
      <w:pPr>
        <w:shd w:val="clear"/>
        <w:spacing w:line="360" w:lineRule="auto"/>
        <w:ind w:left="454"/>
        <w:rPr>
          <w:rFonts w:ascii="Arial" w:hAnsi="Arial" w:cs="Arial"/>
          <w:color w:val="auto"/>
          <w:sz w:val="24"/>
          <w:szCs w:val="24"/>
          <w:highlight w:val="none"/>
        </w:rPr>
      </w:pPr>
      <w:r>
        <w:rPr>
          <w:rFonts w:hint="default" w:ascii="Arial" w:hAnsi="Arial" w:cs="Arial"/>
          <w:color w:val="auto"/>
          <w:sz w:val="24"/>
          <w:szCs w:val="24"/>
          <w:highlight w:val="none"/>
        </w:rPr>
        <w:t>□配合甲方满足监管机构要求， 并提供相关文件，包括但不限于：</w:t>
      </w:r>
    </w:p>
    <w:p>
      <w:pPr>
        <w:numPr>
          <w:ilvl w:val="0"/>
          <w:numId w:val="16"/>
        </w:numPr>
        <w:shd w:val="clear"/>
        <w:spacing w:line="360" w:lineRule="auto"/>
        <w:rPr>
          <w:rFonts w:ascii="Arial" w:hAnsi="Arial" w:cs="Arial"/>
          <w:color w:val="auto"/>
          <w:sz w:val="24"/>
          <w:szCs w:val="22"/>
          <w:highlight w:val="none"/>
        </w:rPr>
      </w:pPr>
      <w:r>
        <w:rPr>
          <w:rFonts w:hint="default" w:ascii="Arial" w:hAnsi="Arial" w:cs="Arial"/>
          <w:color w:val="auto"/>
          <w:sz w:val="24"/>
          <w:szCs w:val="22"/>
          <w:highlight w:val="none"/>
        </w:rPr>
        <w:t>经审计的财务报表；</w:t>
      </w:r>
    </w:p>
    <w:p>
      <w:pPr>
        <w:numPr>
          <w:ilvl w:val="0"/>
          <w:numId w:val="16"/>
        </w:numPr>
        <w:shd w:val="clear"/>
        <w:spacing w:line="360" w:lineRule="auto"/>
        <w:rPr>
          <w:rFonts w:ascii="Arial" w:hAnsi="Arial" w:cs="Arial"/>
          <w:color w:val="auto"/>
          <w:sz w:val="24"/>
          <w:szCs w:val="22"/>
          <w:highlight w:val="none"/>
        </w:rPr>
      </w:pPr>
      <w:r>
        <w:rPr>
          <w:rFonts w:hint="default" w:ascii="Arial" w:hAnsi="Arial" w:cs="Arial"/>
          <w:color w:val="auto"/>
          <w:sz w:val="24"/>
          <w:szCs w:val="22"/>
          <w:highlight w:val="none"/>
        </w:rPr>
        <w:t>完整的内控制度；</w:t>
      </w:r>
    </w:p>
    <w:p>
      <w:pPr>
        <w:numPr>
          <w:ilvl w:val="0"/>
          <w:numId w:val="16"/>
        </w:numPr>
        <w:shd w:val="clear"/>
        <w:spacing w:line="360" w:lineRule="auto"/>
        <w:rPr>
          <w:rFonts w:ascii="Arial" w:hAnsi="Arial" w:cs="Arial"/>
          <w:color w:val="auto"/>
          <w:sz w:val="24"/>
          <w:szCs w:val="22"/>
          <w:highlight w:val="none"/>
        </w:rPr>
      </w:pPr>
      <w:r>
        <w:rPr>
          <w:rFonts w:hint="default" w:ascii="Arial" w:hAnsi="Arial" w:cs="Arial"/>
          <w:color w:val="auto"/>
          <w:sz w:val="24"/>
          <w:szCs w:val="22"/>
          <w:highlight w:val="none"/>
        </w:rPr>
        <w:t>安全管理制度；</w:t>
      </w:r>
    </w:p>
    <w:p>
      <w:pPr>
        <w:numPr>
          <w:ilvl w:val="0"/>
          <w:numId w:val="16"/>
        </w:numPr>
        <w:shd w:val="clear"/>
        <w:spacing w:line="360" w:lineRule="auto"/>
        <w:rPr>
          <w:rFonts w:ascii="Arial" w:hAnsi="Arial" w:cs="Arial"/>
          <w:color w:val="auto"/>
          <w:sz w:val="24"/>
          <w:szCs w:val="22"/>
          <w:highlight w:val="none"/>
        </w:rPr>
      </w:pPr>
      <w:r>
        <w:rPr>
          <w:rFonts w:hint="default" w:ascii="Arial" w:hAnsi="Arial" w:cs="Arial"/>
          <w:color w:val="auto"/>
          <w:sz w:val="24"/>
          <w:szCs w:val="22"/>
          <w:highlight w:val="none"/>
        </w:rPr>
        <w:t>连续性方案。</w:t>
      </w:r>
    </w:p>
    <w:p>
      <w:pPr>
        <w:shd w:val="clear"/>
        <w:spacing w:line="360" w:lineRule="auto"/>
        <w:ind w:left="454"/>
        <w:rPr>
          <w:rFonts w:ascii="Arial" w:hAnsi="Arial" w:cs="Arial"/>
          <w:color w:val="auto"/>
          <w:sz w:val="24"/>
          <w:szCs w:val="24"/>
          <w:highlight w:val="none"/>
        </w:rPr>
      </w:pPr>
      <w:r>
        <w:rPr>
          <w:rFonts w:hint="default" w:ascii="Arial" w:hAnsi="Arial" w:cs="Arial"/>
          <w:color w:val="auto"/>
          <w:sz w:val="24"/>
          <w:szCs w:val="24"/>
          <w:highlight w:val="none"/>
        </w:rPr>
        <w:t>□应配合甲方定期进行的安全检查，提供自评估或第三方评估报告。</w:t>
      </w:r>
    </w:p>
    <w:p>
      <w:pPr>
        <w:keepNext/>
        <w:keepLines/>
        <w:numPr>
          <w:ilvl w:val="0"/>
          <w:numId w:val="10"/>
        </w:numPr>
        <w:shd w:val="clear"/>
        <w:spacing w:line="360" w:lineRule="auto"/>
        <w:outlineLvl w:val="1"/>
        <w:rPr>
          <w:rFonts w:ascii="Arial" w:hAnsi="Arial" w:cs="Arial"/>
          <w:b/>
          <w:color w:val="auto"/>
          <w:kern w:val="0"/>
          <w:sz w:val="24"/>
          <w:highlight w:val="none"/>
        </w:rPr>
      </w:pPr>
      <w:bookmarkStart w:id="13" w:name="_Toc8198"/>
      <w:bookmarkStart w:id="14" w:name="_Toc22773"/>
      <w:bookmarkStart w:id="15" w:name="_Toc365467753"/>
      <w:r>
        <w:rPr>
          <w:rFonts w:hint="default" w:ascii="Arial" w:hAnsi="Arial" w:cs="Arial"/>
          <w:b/>
          <w:color w:val="auto"/>
          <w:kern w:val="0"/>
          <w:sz w:val="24"/>
          <w:highlight w:val="none"/>
        </w:rPr>
        <w:t>合同金额和支付</w:t>
      </w:r>
      <w:bookmarkEnd w:id="13"/>
      <w:bookmarkEnd w:id="14"/>
      <w:bookmarkEnd w:id="15"/>
    </w:p>
    <w:p>
      <w:pPr>
        <w:shd w:val="clear"/>
        <w:spacing w:line="360" w:lineRule="auto"/>
        <w:ind w:left="454"/>
        <w:rPr>
          <w:rFonts w:ascii="Arial" w:hAnsi="Arial" w:cs="Arial"/>
          <w:color w:val="auto"/>
          <w:sz w:val="24"/>
          <w:szCs w:val="24"/>
          <w:highlight w:val="none"/>
        </w:rPr>
      </w:pPr>
      <w:r>
        <w:rPr>
          <w:rFonts w:hint="default" w:ascii="Arial" w:hAnsi="Arial" w:cs="Arial"/>
          <w:color w:val="auto"/>
          <w:sz w:val="24"/>
          <w:szCs w:val="24"/>
          <w:highlight w:val="none"/>
        </w:rPr>
        <w:t>合同金额：本合同总金额为人民币（大写）</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元整，￥</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元（大小写不一致的，以大写为准）。</w:t>
      </w:r>
    </w:p>
    <w:p>
      <w:pPr>
        <w:numPr>
          <w:ilvl w:val="1"/>
          <w:numId w:val="17"/>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合同价款的支付条件及支付比例，按以下方式执行：</w:t>
      </w:r>
    </w:p>
    <w:p>
      <w:pPr>
        <w:shd w:val="clear"/>
        <w:spacing w:line="360" w:lineRule="auto"/>
        <w:ind w:left="360"/>
        <w:rPr>
          <w:rFonts w:ascii="Arial" w:hAnsi="Arial" w:cs="Arial"/>
          <w:color w:val="auto"/>
          <w:sz w:val="24"/>
          <w:szCs w:val="22"/>
          <w:highlight w:val="none"/>
        </w:rPr>
      </w:pPr>
      <w:r>
        <w:rPr>
          <w:rFonts w:hint="default" w:ascii="Arial" w:hAnsi="Arial" w:cs="Arial"/>
          <w:color w:val="auto"/>
          <w:sz w:val="24"/>
          <w:szCs w:val="22"/>
          <w:highlight w:val="none"/>
        </w:rPr>
        <w:t>□ 支付方式一：</w:t>
      </w:r>
    </w:p>
    <w:tbl>
      <w:tblPr>
        <w:tblStyle w:val="13"/>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5"/>
        <w:gridCol w:w="2694"/>
        <w:gridCol w:w="1842"/>
        <w:gridCol w:w="2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2" w:hRule="atLeast"/>
        </w:trPr>
        <w:tc>
          <w:tcPr>
            <w:tcW w:w="1355" w:type="dxa"/>
          </w:tcPr>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阶段</w:t>
            </w:r>
          </w:p>
        </w:tc>
        <w:tc>
          <w:tcPr>
            <w:tcW w:w="2694" w:type="dxa"/>
          </w:tcPr>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付款条件</w:t>
            </w:r>
          </w:p>
        </w:tc>
        <w:tc>
          <w:tcPr>
            <w:tcW w:w="1842" w:type="dxa"/>
          </w:tcPr>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付款比例</w:t>
            </w:r>
          </w:p>
        </w:tc>
        <w:tc>
          <w:tcPr>
            <w:tcW w:w="2559" w:type="dxa"/>
          </w:tcPr>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付款金额(元)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1355" w:type="dxa"/>
          </w:tcPr>
          <w:p>
            <w:pPr>
              <w:shd w:val="clear"/>
              <w:rPr>
                <w:rFonts w:ascii="Arial" w:hAnsi="Arial" w:cs="Arial"/>
                <w:color w:val="auto"/>
                <w:szCs w:val="21"/>
                <w:highlight w:val="none"/>
              </w:rPr>
            </w:pPr>
            <w:r>
              <w:rPr>
                <w:rFonts w:hint="default" w:ascii="Arial" w:hAnsi="Arial" w:cs="Arial"/>
                <w:color w:val="auto"/>
                <w:szCs w:val="21"/>
                <w:highlight w:val="none"/>
              </w:rPr>
              <w:t>第</w:t>
            </w:r>
            <w:r>
              <w:rPr>
                <w:rFonts w:hint="default" w:ascii="Arial" w:hAnsi="Arial" w:cs="Arial"/>
                <w:color w:val="auto"/>
                <w:szCs w:val="21"/>
                <w:highlight w:val="none"/>
                <w:u w:val="single"/>
              </w:rPr>
              <w:t xml:space="preserve"> 1 </w:t>
            </w:r>
            <w:r>
              <w:rPr>
                <w:rFonts w:hint="default" w:ascii="Arial" w:hAnsi="Arial" w:cs="Arial"/>
                <w:color w:val="auto"/>
                <w:szCs w:val="21"/>
                <w:highlight w:val="none"/>
              </w:rPr>
              <w:t>阶段</w:t>
            </w:r>
          </w:p>
        </w:tc>
        <w:tc>
          <w:tcPr>
            <w:tcW w:w="2694" w:type="dxa"/>
          </w:tcPr>
          <w:p>
            <w:pPr>
              <w:shd w:val="clear"/>
              <w:rPr>
                <w:rFonts w:ascii="Arial" w:hAnsi="Arial" w:cs="Arial"/>
                <w:i/>
                <w:color w:val="auto"/>
                <w:szCs w:val="21"/>
                <w:highlight w:val="none"/>
              </w:rPr>
            </w:pPr>
            <w:r>
              <w:rPr>
                <w:rFonts w:hint="default" w:ascii="Arial" w:hAnsi="Arial" w:cs="Arial"/>
                <w:i/>
                <w:color w:val="auto"/>
                <w:szCs w:val="21"/>
                <w:highlight w:val="none"/>
              </w:rPr>
              <w:t>双方签署本合同后</w:t>
            </w:r>
            <w:r>
              <w:rPr>
                <w:rFonts w:hint="default" w:ascii="Arial" w:hAnsi="Arial" w:cs="Arial"/>
                <w:i/>
                <w:color w:val="auto"/>
                <w:szCs w:val="21"/>
                <w:highlight w:val="none"/>
                <w:u w:val="single"/>
              </w:rPr>
              <w:t xml:space="preserve">   </w:t>
            </w:r>
            <w:r>
              <w:rPr>
                <w:rFonts w:hint="default" w:ascii="Arial" w:hAnsi="Arial" w:cs="Arial"/>
                <w:i/>
                <w:color w:val="auto"/>
                <w:szCs w:val="21"/>
                <w:highlight w:val="none"/>
              </w:rPr>
              <w:t>个工作日内</w:t>
            </w:r>
          </w:p>
        </w:tc>
        <w:tc>
          <w:tcPr>
            <w:tcW w:w="1842" w:type="dxa"/>
            <w:vAlign w:val="center"/>
          </w:tcPr>
          <w:p>
            <w:pPr>
              <w:shd w:val="clear"/>
              <w:jc w:val="center"/>
              <w:rPr>
                <w:rFonts w:ascii="Arial" w:hAnsi="Arial" w:cs="Arial"/>
                <w:color w:val="auto"/>
                <w:szCs w:val="21"/>
                <w:highlight w:val="none"/>
              </w:rPr>
            </w:pPr>
            <w:r>
              <w:rPr>
                <w:rFonts w:hint="default" w:ascii="Arial" w:hAnsi="Arial" w:cs="Arial"/>
                <w:color w:val="auto"/>
                <w:szCs w:val="21"/>
                <w:highlight w:val="none"/>
              </w:rPr>
              <w:t>合同总金额的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tc>
        <w:tc>
          <w:tcPr>
            <w:tcW w:w="2559" w:type="dxa"/>
            <w:vAlign w:val="center"/>
          </w:tcPr>
          <w:p>
            <w:pPr>
              <w:shd w:val="clear"/>
              <w:jc w:val="center"/>
              <w:rPr>
                <w:rFonts w:ascii="Arial" w:hAnsi="Arial" w:cs="Arial"/>
                <w:color w:val="auto"/>
                <w:szCs w:val="21"/>
                <w:highlight w:val="none"/>
              </w:rPr>
            </w:pPr>
            <w:r>
              <w:rPr>
                <w:rFonts w:hint="default" w:ascii="Arial" w:hAnsi="Arial" w:cs="Arial"/>
                <w:color w:val="auto"/>
                <w:sz w:val="24"/>
                <w:szCs w:val="24"/>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w:t>
            </w:r>
          </w:p>
          <w:p>
            <w:pPr>
              <w:shd w:val="clear"/>
              <w:jc w:val="center"/>
              <w:rPr>
                <w:rFonts w:ascii="Arial" w:hAnsi="Arial" w:cs="Arial"/>
                <w:color w:val="auto"/>
                <w:szCs w:val="21"/>
                <w:highlight w:val="none"/>
              </w:rPr>
            </w:pPr>
            <w:r>
              <w:rPr>
                <w:rFonts w:hint="default" w:ascii="Arial" w:hAnsi="Arial" w:cs="Arial"/>
                <w:color w:val="auto"/>
                <w:szCs w:val="21"/>
                <w:highlight w:val="none"/>
              </w:rPr>
              <w:t>(人民币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shd w:val="clear"/>
              <w:rPr>
                <w:rFonts w:ascii="Arial" w:hAnsi="Arial" w:cs="Arial"/>
                <w:color w:val="auto"/>
                <w:szCs w:val="21"/>
                <w:highlight w:val="none"/>
              </w:rPr>
            </w:pPr>
            <w:r>
              <w:rPr>
                <w:rFonts w:hint="default" w:ascii="Arial" w:hAnsi="Arial" w:cs="Arial"/>
                <w:color w:val="auto"/>
                <w:szCs w:val="21"/>
                <w:highlight w:val="none"/>
              </w:rPr>
              <w:t>第</w:t>
            </w:r>
            <w:r>
              <w:rPr>
                <w:rFonts w:hint="default" w:ascii="Arial" w:hAnsi="Arial" w:cs="Arial"/>
                <w:color w:val="auto"/>
                <w:szCs w:val="21"/>
                <w:highlight w:val="none"/>
                <w:u w:val="single"/>
              </w:rPr>
              <w:t xml:space="preserve"> 2 </w:t>
            </w:r>
            <w:r>
              <w:rPr>
                <w:rFonts w:hint="default" w:ascii="Arial" w:hAnsi="Arial" w:cs="Arial"/>
                <w:color w:val="auto"/>
                <w:szCs w:val="21"/>
                <w:highlight w:val="none"/>
              </w:rPr>
              <w:t>阶段</w:t>
            </w:r>
          </w:p>
        </w:tc>
        <w:tc>
          <w:tcPr>
            <w:tcW w:w="2694" w:type="dxa"/>
          </w:tcPr>
          <w:p>
            <w:pPr>
              <w:shd w:val="clear"/>
              <w:rPr>
                <w:rFonts w:ascii="Arial" w:hAnsi="Arial" w:cs="Arial"/>
                <w:i/>
                <w:color w:val="auto"/>
                <w:szCs w:val="21"/>
                <w:highlight w:val="none"/>
              </w:rPr>
            </w:pPr>
            <w:r>
              <w:rPr>
                <w:rFonts w:hint="default" w:ascii="Arial" w:hAnsi="Arial" w:cs="Arial"/>
                <w:i/>
                <w:color w:val="auto"/>
                <w:szCs w:val="21"/>
                <w:highlight w:val="none"/>
              </w:rPr>
              <w:t>完成XX服务</w:t>
            </w:r>
            <w:r>
              <w:rPr>
                <w:rFonts w:hint="default" w:ascii="Arial" w:hAnsi="Arial" w:cs="Arial"/>
                <w:i/>
                <w:color w:val="auto"/>
                <w:szCs w:val="21"/>
                <w:highlight w:val="none"/>
                <w:u w:val="single"/>
              </w:rPr>
              <w:t xml:space="preserve">    </w:t>
            </w:r>
            <w:r>
              <w:rPr>
                <w:rFonts w:hint="default" w:ascii="Arial" w:hAnsi="Arial" w:cs="Arial"/>
                <w:i/>
                <w:color w:val="auto"/>
                <w:szCs w:val="21"/>
                <w:highlight w:val="none"/>
              </w:rPr>
              <w:t>个工作日内</w:t>
            </w:r>
          </w:p>
        </w:tc>
        <w:tc>
          <w:tcPr>
            <w:tcW w:w="1842" w:type="dxa"/>
            <w:vAlign w:val="center"/>
          </w:tcPr>
          <w:p>
            <w:pPr>
              <w:shd w:val="clear"/>
              <w:jc w:val="center"/>
              <w:rPr>
                <w:rFonts w:ascii="Arial" w:hAnsi="Arial" w:cs="Arial"/>
                <w:color w:val="auto"/>
                <w:szCs w:val="21"/>
                <w:highlight w:val="none"/>
              </w:rPr>
            </w:pPr>
            <w:r>
              <w:rPr>
                <w:rFonts w:hint="default" w:ascii="Arial" w:hAnsi="Arial" w:cs="Arial"/>
                <w:color w:val="auto"/>
                <w:szCs w:val="21"/>
                <w:highlight w:val="none"/>
              </w:rPr>
              <w:t>合同总金额的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tc>
        <w:tc>
          <w:tcPr>
            <w:tcW w:w="2559" w:type="dxa"/>
            <w:vAlign w:val="center"/>
          </w:tcPr>
          <w:p>
            <w:pPr>
              <w:shd w:val="clear"/>
              <w:jc w:val="center"/>
              <w:rPr>
                <w:rFonts w:ascii="Arial" w:hAnsi="Arial" w:cs="Arial"/>
                <w:color w:val="auto"/>
                <w:szCs w:val="21"/>
                <w:highlight w:val="none"/>
              </w:rPr>
            </w:pPr>
            <w:r>
              <w:rPr>
                <w:rFonts w:hint="default" w:ascii="Arial" w:hAnsi="Arial" w:cs="Arial"/>
                <w:color w:val="auto"/>
                <w:sz w:val="24"/>
                <w:szCs w:val="24"/>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w:t>
            </w:r>
          </w:p>
          <w:p>
            <w:pPr>
              <w:shd w:val="clear"/>
              <w:jc w:val="center"/>
              <w:rPr>
                <w:rFonts w:ascii="Arial" w:hAnsi="Arial" w:cs="Arial"/>
                <w:color w:val="auto"/>
                <w:szCs w:val="21"/>
                <w:highlight w:val="none"/>
              </w:rPr>
            </w:pPr>
            <w:r>
              <w:rPr>
                <w:rFonts w:hint="default" w:ascii="Arial" w:hAnsi="Arial" w:cs="Arial"/>
                <w:color w:val="auto"/>
                <w:szCs w:val="21"/>
                <w:highlight w:val="none"/>
              </w:rPr>
              <w:t>(人民币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1355" w:type="dxa"/>
          </w:tcPr>
          <w:p>
            <w:pPr>
              <w:shd w:val="clear"/>
              <w:rPr>
                <w:rFonts w:ascii="Arial" w:hAnsi="Arial" w:cs="Arial"/>
                <w:color w:val="auto"/>
                <w:szCs w:val="21"/>
                <w:highlight w:val="none"/>
              </w:rPr>
            </w:pPr>
            <w:r>
              <w:rPr>
                <w:rFonts w:hint="default" w:ascii="Arial" w:hAnsi="Arial" w:cs="Arial"/>
                <w:color w:val="auto"/>
                <w:szCs w:val="21"/>
                <w:highlight w:val="none"/>
              </w:rPr>
              <w:t>第</w:t>
            </w:r>
            <w:r>
              <w:rPr>
                <w:rFonts w:hint="default" w:ascii="Arial" w:hAnsi="Arial" w:cs="Arial"/>
                <w:color w:val="auto"/>
                <w:szCs w:val="21"/>
                <w:highlight w:val="none"/>
                <w:u w:val="single"/>
              </w:rPr>
              <w:t xml:space="preserve"> 3</w:t>
            </w:r>
            <w:r>
              <w:rPr>
                <w:rFonts w:hint="default" w:ascii="Arial" w:hAnsi="Arial" w:cs="Arial"/>
                <w:color w:val="auto"/>
                <w:szCs w:val="21"/>
                <w:highlight w:val="none"/>
              </w:rPr>
              <w:t>阶段</w:t>
            </w:r>
          </w:p>
        </w:tc>
        <w:tc>
          <w:tcPr>
            <w:tcW w:w="2694" w:type="dxa"/>
          </w:tcPr>
          <w:p>
            <w:pPr>
              <w:shd w:val="clear"/>
              <w:rPr>
                <w:rFonts w:ascii="Arial" w:hAnsi="Arial" w:cs="Arial"/>
                <w:i/>
                <w:color w:val="auto"/>
                <w:szCs w:val="21"/>
                <w:highlight w:val="none"/>
              </w:rPr>
            </w:pPr>
            <w:r>
              <w:rPr>
                <w:rFonts w:hint="default" w:ascii="Arial" w:hAnsi="Arial" w:cs="Arial"/>
                <w:i/>
                <w:color w:val="auto"/>
                <w:szCs w:val="21"/>
                <w:highlight w:val="none"/>
              </w:rPr>
              <w:t>上线验收合格并且正常运行</w:t>
            </w:r>
            <w:r>
              <w:rPr>
                <w:rFonts w:hint="default" w:ascii="Arial" w:hAnsi="Arial" w:cs="Arial"/>
                <w:i/>
                <w:color w:val="auto"/>
                <w:szCs w:val="21"/>
                <w:highlight w:val="none"/>
                <w:u w:val="single"/>
              </w:rPr>
              <w:t xml:space="preserve">    </w:t>
            </w:r>
            <w:r>
              <w:rPr>
                <w:rFonts w:hint="default" w:ascii="Arial" w:hAnsi="Arial" w:cs="Arial"/>
                <w:i/>
                <w:color w:val="auto"/>
                <w:szCs w:val="21"/>
                <w:highlight w:val="none"/>
              </w:rPr>
              <w:t>个月后</w:t>
            </w:r>
            <w:r>
              <w:rPr>
                <w:rFonts w:hint="default" w:ascii="Arial" w:hAnsi="Arial" w:cs="Arial"/>
                <w:i/>
                <w:color w:val="auto"/>
                <w:szCs w:val="21"/>
                <w:highlight w:val="none"/>
                <w:u w:val="single"/>
              </w:rPr>
              <w:t xml:space="preserve">    </w:t>
            </w:r>
            <w:r>
              <w:rPr>
                <w:rFonts w:hint="default" w:ascii="Arial" w:hAnsi="Arial" w:cs="Arial"/>
                <w:i/>
                <w:color w:val="auto"/>
                <w:szCs w:val="21"/>
                <w:highlight w:val="none"/>
              </w:rPr>
              <w:t>个工作日内..</w:t>
            </w:r>
          </w:p>
        </w:tc>
        <w:tc>
          <w:tcPr>
            <w:tcW w:w="1842" w:type="dxa"/>
            <w:vAlign w:val="center"/>
          </w:tcPr>
          <w:p>
            <w:pPr>
              <w:shd w:val="clear"/>
              <w:jc w:val="center"/>
              <w:rPr>
                <w:rFonts w:ascii="Arial" w:hAnsi="Arial" w:cs="Arial"/>
                <w:color w:val="auto"/>
                <w:szCs w:val="21"/>
                <w:highlight w:val="none"/>
              </w:rPr>
            </w:pPr>
            <w:r>
              <w:rPr>
                <w:rFonts w:hint="default" w:ascii="Arial" w:hAnsi="Arial" w:cs="Arial"/>
                <w:color w:val="auto"/>
                <w:szCs w:val="21"/>
                <w:highlight w:val="none"/>
              </w:rPr>
              <w:t>合同总金额的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tc>
        <w:tc>
          <w:tcPr>
            <w:tcW w:w="2559" w:type="dxa"/>
            <w:vAlign w:val="center"/>
          </w:tcPr>
          <w:p>
            <w:pPr>
              <w:shd w:val="clear"/>
              <w:jc w:val="center"/>
              <w:rPr>
                <w:rFonts w:ascii="Arial" w:hAnsi="Arial" w:cs="Arial"/>
                <w:color w:val="auto"/>
                <w:szCs w:val="21"/>
                <w:highlight w:val="none"/>
              </w:rPr>
            </w:pPr>
            <w:r>
              <w:rPr>
                <w:rFonts w:hint="default" w:ascii="Arial" w:hAnsi="Arial" w:cs="Arial"/>
                <w:color w:val="auto"/>
                <w:sz w:val="24"/>
                <w:szCs w:val="24"/>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w:t>
            </w:r>
          </w:p>
          <w:p>
            <w:pPr>
              <w:shd w:val="clear"/>
              <w:jc w:val="center"/>
              <w:rPr>
                <w:rFonts w:ascii="Arial" w:hAnsi="Arial" w:cs="Arial"/>
                <w:color w:val="auto"/>
                <w:szCs w:val="21"/>
                <w:highlight w:val="none"/>
              </w:rPr>
            </w:pPr>
            <w:r>
              <w:rPr>
                <w:rFonts w:hint="default" w:ascii="Arial" w:hAnsi="Arial" w:cs="Arial"/>
                <w:color w:val="auto"/>
                <w:szCs w:val="21"/>
                <w:highlight w:val="none"/>
              </w:rPr>
              <w:t>(人民币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元整)</w:t>
            </w:r>
          </w:p>
        </w:tc>
      </w:tr>
    </w:tbl>
    <w:p>
      <w:pPr>
        <w:shd w:val="clear"/>
        <w:spacing w:line="360" w:lineRule="auto"/>
        <w:ind w:firstLine="420"/>
        <w:rPr>
          <w:rFonts w:ascii="Arial" w:hAnsi="Arial" w:cs="Arial"/>
          <w:color w:val="auto"/>
          <w:sz w:val="24"/>
          <w:szCs w:val="22"/>
          <w:highlight w:val="none"/>
        </w:rPr>
      </w:pPr>
      <w:r>
        <w:rPr>
          <w:rFonts w:hint="default" w:ascii="Arial" w:hAnsi="Arial" w:cs="Arial"/>
          <w:color w:val="auto"/>
          <w:sz w:val="24"/>
          <w:szCs w:val="22"/>
          <w:highlight w:val="none"/>
        </w:rPr>
        <w:t>□ 支付方式二：</w:t>
      </w:r>
    </w:p>
    <w:p>
      <w:pPr>
        <w:shd w:val="clear"/>
        <w:spacing w:line="360" w:lineRule="auto"/>
        <w:ind w:left="907"/>
        <w:rPr>
          <w:rFonts w:ascii="Arial" w:hAnsi="Arial" w:cs="Arial"/>
          <w:color w:val="auto"/>
          <w:sz w:val="24"/>
          <w:szCs w:val="22"/>
          <w:highlight w:val="none"/>
        </w:rPr>
      </w:pPr>
      <w:r>
        <w:rPr>
          <w:rFonts w:hint="default" w:ascii="Arial" w:hAnsi="Arial" w:cs="Arial"/>
          <w:color w:val="auto"/>
          <w:sz w:val="24"/>
          <w:szCs w:val="22"/>
          <w:highlight w:val="none"/>
        </w:rPr>
        <w:t>分</w:t>
      </w:r>
      <w:r>
        <w:rPr>
          <w:rFonts w:hint="default" w:ascii="Arial" w:hAnsi="Arial" w:cs="Arial"/>
          <w:color w:val="auto"/>
          <w:sz w:val="24"/>
          <w:szCs w:val="22"/>
          <w:highlight w:val="none"/>
          <w:u w:val="single"/>
        </w:rPr>
        <w:t xml:space="preserve">   </w:t>
      </w:r>
      <w:r>
        <w:rPr>
          <w:rFonts w:hint="default" w:ascii="Arial" w:hAnsi="Arial" w:cs="Arial"/>
          <w:color w:val="auto"/>
          <w:sz w:val="24"/>
          <w:szCs w:val="22"/>
          <w:highlight w:val="none"/>
        </w:rPr>
        <w:t>个阶段付款</w:t>
      </w:r>
    </w:p>
    <w:tbl>
      <w:tblPr>
        <w:tblStyle w:val="13"/>
        <w:tblW w:w="0" w:type="auto"/>
        <w:tblInd w:w="4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5"/>
        <w:gridCol w:w="2694"/>
        <w:gridCol w:w="1842"/>
        <w:gridCol w:w="2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trPr>
        <w:tc>
          <w:tcPr>
            <w:tcW w:w="1355" w:type="dxa"/>
          </w:tcPr>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阶段</w:t>
            </w:r>
          </w:p>
        </w:tc>
        <w:tc>
          <w:tcPr>
            <w:tcW w:w="2694" w:type="dxa"/>
          </w:tcPr>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付款条件</w:t>
            </w:r>
          </w:p>
        </w:tc>
        <w:tc>
          <w:tcPr>
            <w:tcW w:w="1842" w:type="dxa"/>
          </w:tcPr>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付款比例</w:t>
            </w:r>
          </w:p>
        </w:tc>
        <w:tc>
          <w:tcPr>
            <w:tcW w:w="2559" w:type="dxa"/>
          </w:tcPr>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付款金额(元)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1355" w:type="dxa"/>
          </w:tcPr>
          <w:p>
            <w:pPr>
              <w:shd w:val="clear"/>
              <w:rPr>
                <w:rFonts w:ascii="Arial" w:hAnsi="Arial" w:cs="Arial"/>
                <w:color w:val="auto"/>
                <w:szCs w:val="21"/>
                <w:highlight w:val="none"/>
              </w:rPr>
            </w:pPr>
            <w:r>
              <w:rPr>
                <w:rFonts w:hint="default" w:ascii="Arial" w:hAnsi="Arial" w:cs="Arial"/>
                <w:color w:val="auto"/>
                <w:szCs w:val="21"/>
                <w:highlight w:val="none"/>
              </w:rPr>
              <w:t>第</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阶段</w:t>
            </w:r>
          </w:p>
        </w:tc>
        <w:tc>
          <w:tcPr>
            <w:tcW w:w="2694" w:type="dxa"/>
          </w:tcPr>
          <w:p>
            <w:pPr>
              <w:shd w:val="clear"/>
              <w:rPr>
                <w:rFonts w:ascii="Arial" w:hAnsi="Arial" w:cs="Arial"/>
                <w:i/>
                <w:color w:val="auto"/>
                <w:szCs w:val="21"/>
                <w:highlight w:val="none"/>
              </w:rPr>
            </w:pPr>
            <w:r>
              <w:rPr>
                <w:rFonts w:hint="default" w:ascii="Arial" w:hAnsi="Arial" w:cs="Arial"/>
                <w:i/>
                <w:color w:val="auto"/>
                <w:szCs w:val="21"/>
                <w:highlight w:val="none"/>
              </w:rPr>
              <w:t xml:space="preserve"> </w:t>
            </w:r>
          </w:p>
        </w:tc>
        <w:tc>
          <w:tcPr>
            <w:tcW w:w="1842" w:type="dxa"/>
            <w:vAlign w:val="center"/>
          </w:tcPr>
          <w:p>
            <w:pPr>
              <w:shd w:val="clear"/>
              <w:jc w:val="center"/>
              <w:rPr>
                <w:rFonts w:ascii="Arial" w:hAnsi="Arial" w:cs="Arial"/>
                <w:color w:val="auto"/>
                <w:szCs w:val="21"/>
                <w:highlight w:val="none"/>
              </w:rPr>
            </w:pPr>
            <w:r>
              <w:rPr>
                <w:rFonts w:hint="default" w:ascii="Arial" w:hAnsi="Arial" w:cs="Arial"/>
                <w:color w:val="auto"/>
                <w:szCs w:val="21"/>
                <w:highlight w:val="none"/>
              </w:rPr>
              <w:t>合同总金额的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tc>
        <w:tc>
          <w:tcPr>
            <w:tcW w:w="2559" w:type="dxa"/>
            <w:vAlign w:val="center"/>
          </w:tcPr>
          <w:p>
            <w:pPr>
              <w:shd w:val="clear"/>
              <w:jc w:val="center"/>
              <w:rPr>
                <w:rFonts w:ascii="Arial" w:hAnsi="Arial" w:cs="Arial"/>
                <w:color w:val="auto"/>
                <w:szCs w:val="21"/>
                <w:highlight w:val="none"/>
              </w:rPr>
            </w:pPr>
            <w:r>
              <w:rPr>
                <w:rFonts w:hint="default" w:ascii="Arial" w:hAnsi="Arial" w:cs="Arial"/>
                <w:color w:val="auto"/>
                <w:sz w:val="24"/>
                <w:szCs w:val="24"/>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w:t>
            </w:r>
          </w:p>
          <w:p>
            <w:pPr>
              <w:shd w:val="clear"/>
              <w:jc w:val="center"/>
              <w:rPr>
                <w:rFonts w:ascii="Arial" w:hAnsi="Arial" w:cs="Arial"/>
                <w:color w:val="auto"/>
                <w:szCs w:val="21"/>
                <w:highlight w:val="none"/>
              </w:rPr>
            </w:pPr>
            <w:r>
              <w:rPr>
                <w:rFonts w:hint="default" w:ascii="Arial" w:hAnsi="Arial" w:cs="Arial"/>
                <w:color w:val="auto"/>
                <w:szCs w:val="21"/>
                <w:highlight w:val="none"/>
              </w:rPr>
              <w:t>(人民币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355" w:type="dxa"/>
          </w:tcPr>
          <w:p>
            <w:pPr>
              <w:shd w:val="clear"/>
              <w:rPr>
                <w:rFonts w:ascii="Arial" w:hAnsi="Arial" w:cs="Arial"/>
                <w:color w:val="auto"/>
                <w:szCs w:val="21"/>
                <w:highlight w:val="none"/>
              </w:rPr>
            </w:pPr>
            <w:r>
              <w:rPr>
                <w:rFonts w:hint="default" w:ascii="Arial" w:hAnsi="Arial" w:cs="Arial"/>
                <w:color w:val="auto"/>
                <w:szCs w:val="21"/>
                <w:highlight w:val="none"/>
              </w:rPr>
              <w:t>第</w:t>
            </w:r>
            <w:r>
              <w:rPr>
                <w:rFonts w:hint="default" w:ascii="Arial" w:hAnsi="Arial" w:cs="Arial"/>
                <w:color w:val="auto"/>
                <w:szCs w:val="21"/>
                <w:highlight w:val="none"/>
                <w:u w:val="single"/>
              </w:rPr>
              <w:t xml:space="preserve"> </w:t>
            </w:r>
            <w:r>
              <w:rPr>
                <w:rFonts w:hint="default" w:ascii="Arial" w:hAnsi="Arial" w:cs="Arial"/>
                <w:i/>
                <w:color w:val="auto"/>
                <w:szCs w:val="21"/>
                <w:highlight w:val="none"/>
                <w:u w:val="single"/>
              </w:rPr>
              <w:t xml:space="preserve"> </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阶段</w:t>
            </w:r>
          </w:p>
        </w:tc>
        <w:tc>
          <w:tcPr>
            <w:tcW w:w="2694" w:type="dxa"/>
          </w:tcPr>
          <w:p>
            <w:pPr>
              <w:shd w:val="clear"/>
              <w:rPr>
                <w:rFonts w:ascii="Arial" w:hAnsi="Arial" w:cs="Arial"/>
                <w:i/>
                <w:color w:val="auto"/>
                <w:szCs w:val="21"/>
                <w:highlight w:val="none"/>
              </w:rPr>
            </w:pPr>
            <w:r>
              <w:rPr>
                <w:rFonts w:hint="default" w:ascii="Arial" w:hAnsi="Arial" w:cs="Arial"/>
                <w:i/>
                <w:color w:val="auto"/>
                <w:szCs w:val="21"/>
                <w:highlight w:val="none"/>
              </w:rPr>
              <w:t xml:space="preserve"> </w:t>
            </w:r>
          </w:p>
        </w:tc>
        <w:tc>
          <w:tcPr>
            <w:tcW w:w="1842" w:type="dxa"/>
            <w:vAlign w:val="center"/>
          </w:tcPr>
          <w:p>
            <w:pPr>
              <w:shd w:val="clear"/>
              <w:jc w:val="center"/>
              <w:rPr>
                <w:rFonts w:ascii="Arial" w:hAnsi="Arial" w:cs="Arial"/>
                <w:color w:val="auto"/>
                <w:szCs w:val="21"/>
                <w:highlight w:val="none"/>
              </w:rPr>
            </w:pPr>
            <w:r>
              <w:rPr>
                <w:rFonts w:hint="default" w:ascii="Arial" w:hAnsi="Arial" w:cs="Arial"/>
                <w:color w:val="auto"/>
                <w:szCs w:val="21"/>
                <w:highlight w:val="none"/>
              </w:rPr>
              <w:t>合同总金额的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tc>
        <w:tc>
          <w:tcPr>
            <w:tcW w:w="2559" w:type="dxa"/>
            <w:vAlign w:val="center"/>
          </w:tcPr>
          <w:p>
            <w:pPr>
              <w:shd w:val="clear"/>
              <w:jc w:val="center"/>
              <w:rPr>
                <w:rFonts w:ascii="Arial" w:hAnsi="Arial" w:cs="Arial"/>
                <w:color w:val="auto"/>
                <w:szCs w:val="21"/>
                <w:highlight w:val="none"/>
              </w:rPr>
            </w:pPr>
            <w:r>
              <w:rPr>
                <w:rFonts w:hint="default" w:ascii="Arial" w:hAnsi="Arial" w:cs="Arial"/>
                <w:color w:val="auto"/>
                <w:sz w:val="24"/>
                <w:szCs w:val="24"/>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w:t>
            </w:r>
          </w:p>
          <w:p>
            <w:pPr>
              <w:shd w:val="clear"/>
              <w:jc w:val="center"/>
              <w:rPr>
                <w:rFonts w:ascii="Arial" w:hAnsi="Arial" w:cs="Arial"/>
                <w:color w:val="auto"/>
                <w:szCs w:val="21"/>
                <w:highlight w:val="none"/>
              </w:rPr>
            </w:pPr>
            <w:r>
              <w:rPr>
                <w:rFonts w:hint="default" w:ascii="Arial" w:hAnsi="Arial" w:cs="Arial"/>
                <w:color w:val="auto"/>
                <w:szCs w:val="21"/>
                <w:highlight w:val="none"/>
              </w:rPr>
              <w:t>(人民币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1355" w:type="dxa"/>
          </w:tcPr>
          <w:p>
            <w:pPr>
              <w:shd w:val="clear"/>
              <w:rPr>
                <w:rFonts w:ascii="Arial" w:hAnsi="Arial" w:cs="Arial"/>
                <w:color w:val="auto"/>
                <w:szCs w:val="21"/>
                <w:highlight w:val="none"/>
              </w:rPr>
            </w:pPr>
            <w:r>
              <w:rPr>
                <w:rFonts w:hint="default" w:ascii="Arial" w:hAnsi="Arial" w:cs="Arial"/>
                <w:color w:val="auto"/>
                <w:szCs w:val="21"/>
                <w:highlight w:val="none"/>
              </w:rPr>
              <w:t>第</w:t>
            </w:r>
            <w:r>
              <w:rPr>
                <w:rFonts w:hint="default" w:ascii="Arial" w:hAnsi="Arial" w:cs="Arial"/>
                <w:color w:val="auto"/>
                <w:szCs w:val="21"/>
                <w:highlight w:val="none"/>
                <w:u w:val="single"/>
              </w:rPr>
              <w:t xml:space="preserve"> </w:t>
            </w:r>
            <w:r>
              <w:rPr>
                <w:rFonts w:hint="default" w:ascii="Arial" w:hAnsi="Arial" w:cs="Arial"/>
                <w:i/>
                <w:color w:val="auto"/>
                <w:szCs w:val="21"/>
                <w:highlight w:val="none"/>
                <w:u w:val="single"/>
              </w:rPr>
              <w:t xml:space="preserve"> </w:t>
            </w:r>
            <w:r>
              <w:rPr>
                <w:rFonts w:hint="default" w:ascii="Arial" w:hAnsi="Arial" w:cs="Arial"/>
                <w:color w:val="auto"/>
                <w:szCs w:val="21"/>
                <w:highlight w:val="none"/>
              </w:rPr>
              <w:t>阶段</w:t>
            </w:r>
          </w:p>
        </w:tc>
        <w:tc>
          <w:tcPr>
            <w:tcW w:w="2694" w:type="dxa"/>
          </w:tcPr>
          <w:p>
            <w:pPr>
              <w:shd w:val="clear"/>
              <w:rPr>
                <w:rFonts w:ascii="Arial" w:hAnsi="Arial" w:cs="Arial"/>
                <w:i/>
                <w:color w:val="auto"/>
                <w:szCs w:val="21"/>
                <w:highlight w:val="none"/>
              </w:rPr>
            </w:pPr>
          </w:p>
        </w:tc>
        <w:tc>
          <w:tcPr>
            <w:tcW w:w="1842" w:type="dxa"/>
            <w:vAlign w:val="center"/>
          </w:tcPr>
          <w:p>
            <w:pPr>
              <w:shd w:val="clear"/>
              <w:jc w:val="center"/>
              <w:rPr>
                <w:rFonts w:ascii="Arial" w:hAnsi="Arial" w:cs="Arial"/>
                <w:color w:val="auto"/>
                <w:szCs w:val="21"/>
                <w:highlight w:val="none"/>
              </w:rPr>
            </w:pPr>
            <w:r>
              <w:rPr>
                <w:rFonts w:hint="default" w:ascii="Arial" w:hAnsi="Arial" w:cs="Arial"/>
                <w:color w:val="auto"/>
                <w:szCs w:val="21"/>
                <w:highlight w:val="none"/>
              </w:rPr>
              <w:t>合同总金额的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tc>
        <w:tc>
          <w:tcPr>
            <w:tcW w:w="2559" w:type="dxa"/>
            <w:vAlign w:val="center"/>
          </w:tcPr>
          <w:p>
            <w:pPr>
              <w:shd w:val="clear"/>
              <w:jc w:val="center"/>
              <w:rPr>
                <w:rFonts w:ascii="Arial" w:hAnsi="Arial" w:cs="Arial"/>
                <w:color w:val="auto"/>
                <w:szCs w:val="21"/>
                <w:highlight w:val="none"/>
              </w:rPr>
            </w:pPr>
            <w:r>
              <w:rPr>
                <w:rFonts w:hint="default" w:ascii="Arial" w:hAnsi="Arial" w:cs="Arial"/>
                <w:color w:val="auto"/>
                <w:sz w:val="24"/>
                <w:szCs w:val="24"/>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w:t>
            </w:r>
          </w:p>
          <w:p>
            <w:pPr>
              <w:shd w:val="clear"/>
              <w:jc w:val="center"/>
              <w:rPr>
                <w:rFonts w:ascii="Arial" w:hAnsi="Arial" w:cs="Arial"/>
                <w:color w:val="auto"/>
                <w:szCs w:val="21"/>
                <w:highlight w:val="none"/>
              </w:rPr>
            </w:pPr>
            <w:r>
              <w:rPr>
                <w:rFonts w:hint="default" w:ascii="Arial" w:hAnsi="Arial" w:cs="Arial"/>
                <w:color w:val="auto"/>
                <w:szCs w:val="21"/>
                <w:highlight w:val="none"/>
              </w:rPr>
              <w:t>(人民币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1355" w:type="dxa"/>
          </w:tcPr>
          <w:p>
            <w:pPr>
              <w:shd w:val="clear"/>
              <w:rPr>
                <w:rFonts w:ascii="Arial" w:hAnsi="Arial" w:cs="Arial"/>
                <w:color w:val="auto"/>
                <w:szCs w:val="21"/>
                <w:highlight w:val="none"/>
                <w:u w:val="single"/>
              </w:rPr>
            </w:pPr>
            <w:r>
              <w:rPr>
                <w:rFonts w:hint="default" w:ascii="Arial" w:hAnsi="Arial" w:cs="Arial"/>
                <w:color w:val="auto"/>
                <w:szCs w:val="21"/>
                <w:highlight w:val="none"/>
              </w:rPr>
              <w:t>第</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阶段</w:t>
            </w:r>
          </w:p>
        </w:tc>
        <w:tc>
          <w:tcPr>
            <w:tcW w:w="2694" w:type="dxa"/>
          </w:tcPr>
          <w:p>
            <w:pPr>
              <w:shd w:val="clear"/>
              <w:rPr>
                <w:rFonts w:ascii="Arial" w:hAnsi="Arial" w:cs="Arial"/>
                <w:i/>
                <w:color w:val="auto"/>
                <w:szCs w:val="21"/>
                <w:highlight w:val="none"/>
              </w:rPr>
            </w:pPr>
          </w:p>
        </w:tc>
        <w:tc>
          <w:tcPr>
            <w:tcW w:w="1842" w:type="dxa"/>
            <w:vAlign w:val="center"/>
          </w:tcPr>
          <w:p>
            <w:pPr>
              <w:shd w:val="clear"/>
              <w:jc w:val="center"/>
              <w:rPr>
                <w:rFonts w:ascii="Arial" w:hAnsi="Arial" w:cs="Arial"/>
                <w:color w:val="auto"/>
                <w:szCs w:val="21"/>
                <w:highlight w:val="none"/>
              </w:rPr>
            </w:pPr>
            <w:r>
              <w:rPr>
                <w:rFonts w:hint="default" w:ascii="Arial" w:hAnsi="Arial" w:cs="Arial"/>
                <w:color w:val="auto"/>
                <w:szCs w:val="21"/>
                <w:highlight w:val="none"/>
              </w:rPr>
              <w:t>合同总金额的</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w:t>
            </w:r>
          </w:p>
        </w:tc>
        <w:tc>
          <w:tcPr>
            <w:tcW w:w="2559" w:type="dxa"/>
            <w:vAlign w:val="center"/>
          </w:tcPr>
          <w:p>
            <w:pPr>
              <w:shd w:val="clear"/>
              <w:jc w:val="center"/>
              <w:rPr>
                <w:rFonts w:ascii="Arial" w:hAnsi="Arial" w:cs="Arial"/>
                <w:color w:val="auto"/>
                <w:szCs w:val="21"/>
                <w:highlight w:val="none"/>
              </w:rPr>
            </w:pPr>
            <w:r>
              <w:rPr>
                <w:rFonts w:hint="default" w:ascii="Arial" w:hAnsi="Arial" w:cs="Arial"/>
                <w:color w:val="auto"/>
                <w:sz w:val="24"/>
                <w:szCs w:val="24"/>
                <w:highlight w:val="none"/>
              </w:rPr>
              <w:t>￥</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w:t>
            </w:r>
          </w:p>
          <w:p>
            <w:pPr>
              <w:shd w:val="clear"/>
              <w:jc w:val="center"/>
              <w:rPr>
                <w:rFonts w:ascii="Arial" w:hAnsi="Arial" w:cs="Arial"/>
                <w:color w:val="auto"/>
                <w:szCs w:val="21"/>
                <w:highlight w:val="none"/>
              </w:rPr>
            </w:pPr>
            <w:r>
              <w:rPr>
                <w:rFonts w:hint="default" w:ascii="Arial" w:hAnsi="Arial" w:cs="Arial"/>
                <w:color w:val="auto"/>
                <w:szCs w:val="21"/>
                <w:highlight w:val="none"/>
              </w:rPr>
              <w:t>(人民币</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元整)</w:t>
            </w:r>
          </w:p>
        </w:tc>
      </w:tr>
    </w:tbl>
    <w:p>
      <w:pPr>
        <w:shd w:val="clear"/>
        <w:spacing w:line="360" w:lineRule="auto"/>
        <w:ind w:left="907"/>
        <w:rPr>
          <w:rFonts w:ascii="Arial" w:hAnsi="Arial" w:cs="Arial"/>
          <w:color w:val="auto"/>
          <w:sz w:val="24"/>
          <w:szCs w:val="22"/>
          <w:highlight w:val="none"/>
        </w:rPr>
      </w:pPr>
    </w:p>
    <w:p>
      <w:pPr>
        <w:shd w:val="clear"/>
        <w:rPr>
          <w:rFonts w:ascii="Arial" w:hAnsi="Arial" w:cs="Arial"/>
          <w:color w:val="auto"/>
          <w:sz w:val="24"/>
          <w:szCs w:val="24"/>
          <w:highlight w:val="none"/>
          <w:u w:val="single"/>
        </w:rPr>
      </w:pPr>
    </w:p>
    <w:p>
      <w:pPr>
        <w:numPr>
          <w:ilvl w:val="1"/>
          <w:numId w:val="17"/>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甲方应将合同款项汇至乙方如下账户：</w:t>
      </w:r>
      <w:r>
        <w:rPr>
          <w:rFonts w:ascii="Arial" w:hAnsi="Arial" w:cs="Arial"/>
          <w:color w:val="auto"/>
          <w:sz w:val="24"/>
          <w:szCs w:val="24"/>
          <w:highlight w:val="none"/>
        </w:rPr>
        <w:t xml:space="preserve"> </w:t>
      </w:r>
    </w:p>
    <w:p>
      <w:pPr>
        <w:shd w:val="clear"/>
        <w:spacing w:line="360" w:lineRule="auto"/>
        <w:ind w:firstLine="720" w:firstLineChars="300"/>
        <w:rPr>
          <w:rFonts w:ascii="Arial" w:hAnsi="Arial" w:cs="Arial"/>
          <w:color w:val="auto"/>
          <w:sz w:val="24"/>
          <w:szCs w:val="24"/>
          <w:highlight w:val="none"/>
          <w:u w:val="single"/>
        </w:rPr>
      </w:pPr>
      <w:r>
        <w:rPr>
          <w:rFonts w:hint="default" w:ascii="Arial" w:hAnsi="Arial" w:cs="Arial"/>
          <w:color w:val="auto"/>
          <w:sz w:val="24"/>
          <w:szCs w:val="24"/>
          <w:highlight w:val="none"/>
        </w:rPr>
        <w:t>账户名称：</w:t>
      </w:r>
      <w:r>
        <w:rPr>
          <w:rFonts w:hint="default" w:ascii="Arial" w:hAnsi="Arial" w:cs="Arial"/>
          <w:color w:val="auto"/>
          <w:sz w:val="24"/>
          <w:szCs w:val="24"/>
          <w:highlight w:val="none"/>
          <w:u w:val="single"/>
        </w:rPr>
        <w:t xml:space="preserve">                      </w:t>
      </w:r>
    </w:p>
    <w:p>
      <w:pPr>
        <w:shd w:val="clear"/>
        <w:spacing w:line="360" w:lineRule="auto"/>
        <w:ind w:firstLine="720" w:firstLineChars="300"/>
        <w:rPr>
          <w:rFonts w:ascii="Arial" w:hAnsi="Arial" w:cs="Arial"/>
          <w:color w:val="auto"/>
          <w:sz w:val="24"/>
          <w:szCs w:val="24"/>
          <w:highlight w:val="none"/>
          <w:u w:val="single"/>
        </w:rPr>
      </w:pPr>
      <w:r>
        <w:rPr>
          <w:rFonts w:hint="default" w:ascii="Arial" w:hAnsi="Arial" w:cs="Arial"/>
          <w:color w:val="auto"/>
          <w:sz w:val="24"/>
          <w:szCs w:val="24"/>
          <w:highlight w:val="none"/>
        </w:rPr>
        <w:t xml:space="preserve">开户行：  </w:t>
      </w:r>
      <w:r>
        <w:rPr>
          <w:rFonts w:hint="default" w:ascii="Arial" w:hAnsi="Arial" w:cs="Arial"/>
          <w:color w:val="auto"/>
          <w:sz w:val="24"/>
          <w:szCs w:val="24"/>
          <w:highlight w:val="none"/>
          <w:u w:val="single"/>
        </w:rPr>
        <w:t xml:space="preserve">                      </w:t>
      </w:r>
    </w:p>
    <w:p>
      <w:pPr>
        <w:shd w:val="clear"/>
        <w:spacing w:line="360" w:lineRule="auto"/>
        <w:ind w:firstLine="720" w:firstLineChars="300"/>
        <w:rPr>
          <w:rFonts w:ascii="Arial" w:hAnsi="Arial" w:cs="Arial"/>
          <w:color w:val="auto"/>
          <w:sz w:val="24"/>
          <w:szCs w:val="24"/>
          <w:highlight w:val="none"/>
        </w:rPr>
      </w:pPr>
      <w:r>
        <w:rPr>
          <w:rFonts w:hint="default" w:ascii="Arial" w:hAnsi="Arial" w:cs="Arial"/>
          <w:color w:val="auto"/>
          <w:sz w:val="24"/>
          <w:szCs w:val="24"/>
          <w:highlight w:val="none"/>
        </w:rPr>
        <w:t xml:space="preserve">账号：    </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 xml:space="preserve">  </w:t>
      </w:r>
    </w:p>
    <w:p>
      <w:pPr>
        <w:shd w:val="clear"/>
        <w:spacing w:line="360" w:lineRule="auto"/>
        <w:ind w:firstLine="720" w:firstLineChars="300"/>
        <w:rPr>
          <w:rFonts w:ascii="Arial" w:hAnsi="Arial" w:cs="Arial"/>
          <w:color w:val="auto"/>
          <w:sz w:val="24"/>
          <w:szCs w:val="24"/>
          <w:highlight w:val="none"/>
        </w:rPr>
      </w:pPr>
      <w:r>
        <w:rPr>
          <w:rFonts w:hint="default" w:ascii="Arial" w:hAnsi="Arial" w:cs="Arial"/>
          <w:color w:val="auto"/>
          <w:sz w:val="24"/>
          <w:szCs w:val="24"/>
          <w:highlight w:val="none"/>
        </w:rPr>
        <w:t>如账户发生变更的，乙方应在本合同约定的相应付款期限前</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个工作日以书面方式通知甲方。</w:t>
      </w:r>
    </w:p>
    <w:p>
      <w:pPr>
        <w:numPr>
          <w:ilvl w:val="1"/>
          <w:numId w:val="17"/>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乙方应根据甲方的要求开具符合国家规定的等额发票并交付甲方，甲方收到乙方的正式商业发票后，按以上所选方式支付相应的款项，发生的一切税费及其他费用均由乙方负担。</w:t>
      </w:r>
    </w:p>
    <w:p>
      <w:pPr>
        <w:widowControl/>
        <w:shd w:val="clear"/>
        <w:rPr>
          <w:rFonts w:ascii="Arial" w:hAnsi="Arial" w:cs="Arial"/>
          <w:color w:val="auto"/>
          <w:kern w:val="0"/>
          <w:sz w:val="24"/>
          <w:szCs w:val="21"/>
          <w:highlight w:val="none"/>
        </w:rPr>
      </w:pPr>
      <w:r>
        <w:rPr>
          <w:rFonts w:hint="default" w:ascii="Arial" w:hAnsi="Arial" w:cs="Arial"/>
          <w:color w:val="auto"/>
          <w:kern w:val="0"/>
          <w:sz w:val="24"/>
          <w:szCs w:val="21"/>
          <w:highlight w:val="none"/>
        </w:rPr>
        <w:t xml:space="preserve">                                            </w:t>
      </w:r>
    </w:p>
    <w:p>
      <w:pPr>
        <w:keepNext/>
        <w:keepLines/>
        <w:numPr>
          <w:ilvl w:val="0"/>
          <w:numId w:val="10"/>
        </w:numPr>
        <w:shd w:val="clear"/>
        <w:spacing w:line="360" w:lineRule="auto"/>
        <w:outlineLvl w:val="1"/>
        <w:rPr>
          <w:rFonts w:ascii="Arial" w:hAnsi="Arial" w:cs="Arial"/>
          <w:b/>
          <w:color w:val="auto"/>
          <w:kern w:val="0"/>
          <w:sz w:val="24"/>
          <w:highlight w:val="none"/>
        </w:rPr>
      </w:pPr>
      <w:bookmarkStart w:id="16" w:name="_Toc22440"/>
      <w:bookmarkStart w:id="17" w:name="_Toc32020"/>
      <w:bookmarkStart w:id="18" w:name="_Toc365467754"/>
      <w:r>
        <w:rPr>
          <w:rFonts w:hint="default" w:ascii="Arial" w:hAnsi="Arial" w:cs="Arial"/>
          <w:b/>
          <w:color w:val="auto"/>
          <w:kern w:val="0"/>
          <w:sz w:val="24"/>
          <w:highlight w:val="none"/>
        </w:rPr>
        <w:t>责任限制</w:t>
      </w:r>
      <w:bookmarkEnd w:id="16"/>
      <w:bookmarkEnd w:id="17"/>
      <w:bookmarkEnd w:id="18"/>
    </w:p>
    <w:p>
      <w:pPr>
        <w:numPr>
          <w:ilvl w:val="1"/>
          <w:numId w:val="18"/>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乙方不得将此合同涉及项目转包、变相转包及分包。</w:t>
      </w:r>
    </w:p>
    <w:p>
      <w:pPr>
        <w:numPr>
          <w:ilvl w:val="1"/>
          <w:numId w:val="18"/>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乙方不得以甲方的名义开展其他活动。</w:t>
      </w:r>
    </w:p>
    <w:p>
      <w:pPr>
        <w:numPr>
          <w:ilvl w:val="1"/>
          <w:numId w:val="18"/>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乙方因公司业务转型、分立合并或其他原因等导致乙方无法继续为甲方提供本合同所含的服务，乙方愿意无条件协助甲方或甲方指定的第三方公司完成对后续服务的顺利过渡。</w:t>
      </w:r>
    </w:p>
    <w:p>
      <w:pPr>
        <w:numPr>
          <w:ilvl w:val="1"/>
          <w:numId w:val="18"/>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u w:val="single"/>
        </w:rPr>
        <w:t>乙方应制定服务中断相关的应急处理预案。</w:t>
      </w:r>
    </w:p>
    <w:p>
      <w:pPr>
        <w:shd w:val="clear"/>
        <w:spacing w:line="360" w:lineRule="auto"/>
        <w:ind w:left="360"/>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19" w:name="_Toc2606"/>
      <w:bookmarkStart w:id="20" w:name="_Toc365467755"/>
      <w:bookmarkStart w:id="21" w:name="_Toc17091"/>
      <w:r>
        <w:rPr>
          <w:rFonts w:hint="default" w:ascii="Arial" w:hAnsi="Arial" w:cs="Arial"/>
          <w:b/>
          <w:color w:val="auto"/>
          <w:kern w:val="0"/>
          <w:sz w:val="24"/>
          <w:highlight w:val="none"/>
        </w:rPr>
        <w:t>技术支持与培训</w:t>
      </w:r>
      <w:bookmarkEnd w:id="19"/>
      <w:bookmarkEnd w:id="20"/>
      <w:bookmarkEnd w:id="21"/>
    </w:p>
    <w:p>
      <w:pPr>
        <w:numPr>
          <w:ilvl w:val="1"/>
          <w:numId w:val="19"/>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乙方在向甲方提交本合同项下服务和服务成果时，必须同时向甲方提交相关的具体的可实施的技术资料，这些资料包括但不限于：分析评估报告、方案、建议书、各类总结报告等文件。</w:t>
      </w:r>
    </w:p>
    <w:p>
      <w:pPr>
        <w:numPr>
          <w:ilvl w:val="1"/>
          <w:numId w:val="19"/>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培训方式：</w:t>
      </w:r>
      <w:r>
        <w:rPr>
          <w:rFonts w:hint="default" w:ascii="Arial" w:hAnsi="Arial" w:cs="Arial"/>
          <w:color w:val="auto"/>
          <w:sz w:val="24"/>
          <w:szCs w:val="24"/>
          <w:highlight w:val="none"/>
          <w:u w:val="single"/>
        </w:rPr>
        <w:t xml:space="preserve"> </w:t>
      </w:r>
      <w:r>
        <w:rPr>
          <w:rFonts w:hint="default" w:ascii="Arial" w:hAnsi="Arial" w:cs="Arial"/>
          <w:i/>
          <w:iCs/>
          <w:color w:val="auto"/>
          <w:sz w:val="24"/>
          <w:szCs w:val="24"/>
          <w:highlight w:val="none"/>
          <w:u w:val="single"/>
        </w:rPr>
        <w:t>访谈、授课</w:t>
      </w:r>
      <w:r>
        <w:rPr>
          <w:rFonts w:hint="default" w:ascii="Arial" w:hAnsi="Arial" w:cs="Arial"/>
          <w:color w:val="auto"/>
          <w:sz w:val="24"/>
          <w:szCs w:val="24"/>
          <w:highlight w:val="none"/>
          <w:u w:val="single"/>
        </w:rPr>
        <w:t xml:space="preserve"> ……            </w:t>
      </w:r>
    </w:p>
    <w:p>
      <w:pPr>
        <w:shd w:val="clear"/>
        <w:spacing w:line="360" w:lineRule="auto"/>
        <w:ind w:firstLine="420"/>
        <w:rPr>
          <w:rFonts w:ascii="Arial" w:hAnsi="Arial" w:cs="Arial"/>
          <w:color w:val="auto"/>
          <w:sz w:val="24"/>
          <w:szCs w:val="24"/>
          <w:highlight w:val="none"/>
        </w:rPr>
      </w:pPr>
      <w:r>
        <w:rPr>
          <w:rFonts w:hint="default" w:ascii="Arial" w:hAnsi="Arial" w:cs="Arial"/>
          <w:color w:val="auto"/>
          <w:sz w:val="24"/>
          <w:szCs w:val="24"/>
          <w:highlight w:val="none"/>
        </w:rPr>
        <w:t>培训内容：</w:t>
      </w:r>
      <w:r>
        <w:rPr>
          <w:rFonts w:hint="default" w:ascii="Arial" w:hAnsi="Arial" w:cs="Arial"/>
          <w:color w:val="auto"/>
          <w:sz w:val="24"/>
          <w:szCs w:val="24"/>
          <w:highlight w:val="none"/>
          <w:u w:val="single"/>
        </w:rPr>
        <w:t xml:space="preserve"> </w:t>
      </w:r>
      <w:r>
        <w:rPr>
          <w:rFonts w:hint="default" w:ascii="Arial" w:hAnsi="Arial" w:cs="Arial"/>
          <w:i/>
          <w:iCs/>
          <w:color w:val="auto"/>
          <w:sz w:val="24"/>
          <w:szCs w:val="24"/>
          <w:highlight w:val="none"/>
          <w:u w:val="single"/>
        </w:rPr>
        <w:t>（1）</w:t>
      </w:r>
      <w:r>
        <w:rPr>
          <w:rFonts w:hint="default" w:ascii="Arial" w:hAnsi="Arial" w:cs="Arial"/>
          <w:i/>
          <w:iCs/>
          <w:color w:val="auto"/>
          <w:kern w:val="0"/>
          <w:sz w:val="24"/>
          <w:highlight w:val="none"/>
          <w:u w:val="single"/>
          <w:lang w:val="zh-CN"/>
        </w:rPr>
        <w:t>监管机构要求的培训</w:t>
      </w:r>
      <w:r>
        <w:rPr>
          <w:rFonts w:hint="default" w:ascii="Arial" w:hAnsi="Arial" w:cs="Arial"/>
          <w:i/>
          <w:iCs/>
          <w:color w:val="auto"/>
          <w:sz w:val="24"/>
          <w:szCs w:val="24"/>
          <w:highlight w:val="none"/>
          <w:u w:val="single"/>
        </w:rPr>
        <w:t xml:space="preserve"> ；（2）乙方的项目负责人或其它专职人员负责培训。培训时间、培训对象、培训内容和培训地点由双方协商确定。（3）…… </w:t>
      </w:r>
      <w:r>
        <w:rPr>
          <w:rFonts w:hint="default" w:ascii="Arial" w:hAnsi="Arial" w:cs="Arial"/>
          <w:color w:val="auto"/>
          <w:sz w:val="24"/>
          <w:szCs w:val="24"/>
          <w:highlight w:val="none"/>
          <w:u w:val="single"/>
        </w:rPr>
        <w:t xml:space="preserve">                       </w:t>
      </w:r>
    </w:p>
    <w:p>
      <w:pPr>
        <w:shd w:val="clear"/>
        <w:spacing w:line="360" w:lineRule="auto"/>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22" w:name="_Toc365467756"/>
      <w:bookmarkStart w:id="23" w:name="_Toc14981"/>
      <w:bookmarkStart w:id="24" w:name="_Toc11078"/>
      <w:r>
        <w:rPr>
          <w:rFonts w:hint="default" w:ascii="Arial" w:hAnsi="Arial" w:cs="Arial"/>
          <w:b/>
          <w:color w:val="auto"/>
          <w:kern w:val="0"/>
          <w:sz w:val="24"/>
          <w:highlight w:val="none"/>
        </w:rPr>
        <w:t>知识产权</w:t>
      </w:r>
      <w:bookmarkEnd w:id="22"/>
      <w:bookmarkEnd w:id="23"/>
      <w:bookmarkEnd w:id="24"/>
    </w:p>
    <w:p>
      <w:pPr>
        <w:numPr>
          <w:ilvl w:val="1"/>
          <w:numId w:val="20"/>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本合同生效日前已存在的版权及其他知识产权，其权属不发生任何变更。任何一方均不得凭借本合同取得另一方拥有的版权、专利权、商标权或任何其他知识产权的所有权。</w:t>
      </w:r>
    </w:p>
    <w:p>
      <w:pPr>
        <w:numPr>
          <w:ilvl w:val="1"/>
          <w:numId w:val="20"/>
        </w:numPr>
        <w:shd w:val="clear"/>
        <w:spacing w:line="360" w:lineRule="auto"/>
        <w:rPr>
          <w:rFonts w:ascii="Arial" w:hAnsi="Arial" w:cs="Arial"/>
          <w:color w:val="auto"/>
          <w:sz w:val="24"/>
          <w:szCs w:val="24"/>
          <w:highlight w:val="none"/>
        </w:rPr>
      </w:pPr>
      <w:r>
        <w:rPr>
          <w:rFonts w:hint="default" w:ascii="Arial" w:hAnsi="Arial" w:cs="Arial"/>
          <w:color w:val="auto"/>
          <w:kern w:val="0"/>
          <w:sz w:val="24"/>
          <w:highlight w:val="none"/>
          <w:lang w:val="zh-CN"/>
        </w:rPr>
        <w:t>乙方利用甲方的资料及工作条件完成的新的技术成果（包括但不限于评测方案、分析评估报告）均属于甲方所有，其知识产权归属甲方。未经甲方书面同意，乙方不得随意对外透露、宣传、使用。因乙方原因导致甲方上述权利被侵害造成损失的，乙方负损失赔偿责任。</w:t>
      </w:r>
    </w:p>
    <w:p>
      <w:pPr>
        <w:numPr>
          <w:ilvl w:val="1"/>
          <w:numId w:val="20"/>
        </w:numPr>
        <w:shd w:val="clear"/>
        <w:spacing w:line="360" w:lineRule="auto"/>
        <w:rPr>
          <w:rFonts w:ascii="Arial" w:hAnsi="Arial" w:cs="Arial"/>
          <w:color w:val="auto"/>
          <w:sz w:val="24"/>
          <w:szCs w:val="24"/>
          <w:highlight w:val="none"/>
        </w:rPr>
      </w:pPr>
      <w:r>
        <w:rPr>
          <w:rFonts w:ascii="Arial" w:hAnsi="Arial" w:cs="Arial"/>
          <w:color w:val="auto"/>
          <w:sz w:val="24"/>
          <w:szCs w:val="24"/>
          <w:highlight w:val="none"/>
        </w:rPr>
        <w:t>乙方在提供服务之外所创作或经授权取得的用于完成本项目的工作成果，包括但不限于各种资料、软件、工作方法、样本、方案、各种说明书、测试数据资料、以及其他技术文档，知识产权归属原权利人所有</w:t>
      </w:r>
      <w:r>
        <w:rPr>
          <w:rFonts w:hint="default" w:ascii="Arial" w:hAnsi="Arial" w:cs="Arial"/>
          <w:color w:val="auto"/>
          <w:sz w:val="24"/>
          <w:szCs w:val="24"/>
          <w:highlight w:val="none"/>
        </w:rPr>
        <w:t>。乙方应确保</w:t>
      </w:r>
      <w:r>
        <w:rPr>
          <w:rFonts w:ascii="Arial" w:hAnsi="Arial" w:cs="Arial"/>
          <w:color w:val="auto"/>
          <w:sz w:val="24"/>
          <w:szCs w:val="24"/>
          <w:highlight w:val="none"/>
        </w:rPr>
        <w:t>甲方享有非独占且不可转让的内部使用权</w:t>
      </w:r>
      <w:r>
        <w:rPr>
          <w:rFonts w:hint="default" w:ascii="Arial" w:hAnsi="Arial" w:cs="Arial"/>
          <w:color w:val="auto"/>
          <w:sz w:val="24"/>
          <w:szCs w:val="24"/>
          <w:highlight w:val="none"/>
        </w:rPr>
        <w:t>及在此基础之上进行再次创作的权利，如有任何第三方因此主张甲方侵权的，乙方应负责妥善解决。</w:t>
      </w:r>
    </w:p>
    <w:p>
      <w:pPr>
        <w:numPr>
          <w:ilvl w:val="1"/>
          <w:numId w:val="20"/>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甲方利用本合同第9.2款、9.3款所述的工作成果完成的新的技术成果，属于甲方所有，其知识产权归属甲方。</w:t>
      </w:r>
    </w:p>
    <w:p>
      <w:pPr>
        <w:numPr>
          <w:ilvl w:val="1"/>
          <w:numId w:val="20"/>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乙方保证其在提供咨询服务过程中提供的资料或成果不侵犯任何第三方或存有争议的知识产权，也不存在任何未决诉讼，否则乙方应负责相关知识产权纠纷的处理，并承担由此导致的甲方损失。</w:t>
      </w:r>
    </w:p>
    <w:p>
      <w:pPr>
        <w:shd w:val="clear"/>
        <w:spacing w:line="360" w:lineRule="auto"/>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25" w:name="_Toc365467757"/>
      <w:bookmarkStart w:id="26" w:name="_Toc7169"/>
      <w:bookmarkStart w:id="27" w:name="_Toc3887"/>
      <w:r>
        <w:rPr>
          <w:rFonts w:hint="default" w:ascii="Arial" w:hAnsi="Arial" w:cs="Arial"/>
          <w:b/>
          <w:color w:val="auto"/>
          <w:kern w:val="0"/>
          <w:sz w:val="24"/>
          <w:highlight w:val="none"/>
        </w:rPr>
        <w:t>保密条款</w:t>
      </w:r>
      <w:bookmarkEnd w:id="25"/>
      <w:bookmarkEnd w:id="26"/>
      <w:bookmarkEnd w:id="27"/>
    </w:p>
    <w:p>
      <w:pPr>
        <w:numPr>
          <w:ilvl w:val="1"/>
          <w:numId w:val="21"/>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一方对合同履行过程中获得的另一方的商业秘密负有保密义务，具体见附件《保密协议》。</w:t>
      </w:r>
    </w:p>
    <w:p>
      <w:pPr>
        <w:numPr>
          <w:ilvl w:val="1"/>
          <w:numId w:val="21"/>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商业秘密的保密期限为本合同履行期间及本合同终止后</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年。</w:t>
      </w:r>
    </w:p>
    <w:p>
      <w:pPr>
        <w:shd w:val="clear"/>
        <w:spacing w:line="360" w:lineRule="auto"/>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28" w:name="_Toc29620"/>
      <w:bookmarkStart w:id="29" w:name="_Toc31316"/>
      <w:r>
        <w:rPr>
          <w:rFonts w:hint="default" w:ascii="Arial" w:hAnsi="Arial" w:cs="Arial"/>
          <w:b/>
          <w:color w:val="auto"/>
          <w:kern w:val="0"/>
          <w:sz w:val="24"/>
          <w:highlight w:val="none"/>
        </w:rPr>
        <w:t>违约及赔偿</w:t>
      </w:r>
      <w:bookmarkEnd w:id="28"/>
      <w:bookmarkEnd w:id="29"/>
    </w:p>
    <w:p>
      <w:pPr>
        <w:numPr>
          <w:ilvl w:val="1"/>
          <w:numId w:val="22"/>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付款违约：如果甲方未在本合同及附件约定的期限内向乙方支付相应的价款，每延迟一日，应向乙方支付相当于合同总金额千分之</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的违约金，非甲方原因导致的除外。</w:t>
      </w:r>
    </w:p>
    <w:p>
      <w:pPr>
        <w:numPr>
          <w:ilvl w:val="1"/>
          <w:numId w:val="22"/>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交付违约：</w:t>
      </w:r>
      <w:r>
        <w:rPr>
          <w:rFonts w:hint="default" w:ascii="Arial" w:hAnsi="Arial" w:cs="Arial"/>
          <w:color w:val="auto"/>
          <w:kern w:val="0"/>
          <w:sz w:val="24"/>
          <w:szCs w:val="24"/>
          <w:highlight w:val="none"/>
        </w:rPr>
        <w:t>若乙方未在</w:t>
      </w:r>
      <w:r>
        <w:rPr>
          <w:rFonts w:hint="default" w:ascii="Arial" w:hAnsi="Arial" w:cs="Arial"/>
          <w:color w:val="auto"/>
          <w:sz w:val="24"/>
          <w:szCs w:val="24"/>
          <w:highlight w:val="none"/>
        </w:rPr>
        <w:t>本合同及附件约定的期限内完成项目咨询工作并通过验收，每延迟一日，应向甲方支付相当于合同总金额千分之</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的违约金；由于乙方原因造成延误超过</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天的或乙方无故中途要求终止实施，甲方有权解除合同，乙方除支付相应的延迟违约金外，还应向甲方返回已支付的咨询费用并向甲方支付合同总额</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%的违约金。</w:t>
      </w:r>
    </w:p>
    <w:p>
      <w:pPr>
        <w:numPr>
          <w:ilvl w:val="1"/>
          <w:numId w:val="22"/>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其它条款违约：本合同任何一方违反合同所约定的义务，除本合同另有约定外，违约方应按合同总金额</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%的金额向对方支付违约金。</w:t>
      </w:r>
    </w:p>
    <w:p>
      <w:pPr>
        <w:numPr>
          <w:ilvl w:val="1"/>
          <w:numId w:val="22"/>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最高额度：所有违约金的支付累计不超过本合同总金额的</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w:t>
      </w:r>
    </w:p>
    <w:p>
      <w:pPr>
        <w:shd w:val="clear"/>
        <w:spacing w:line="360" w:lineRule="auto"/>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30" w:name="_Toc13525"/>
      <w:bookmarkStart w:id="31" w:name="_Toc28407"/>
      <w:bookmarkStart w:id="32" w:name="_Toc365467759"/>
      <w:r>
        <w:rPr>
          <w:rFonts w:hint="default" w:ascii="Arial" w:hAnsi="Arial" w:cs="Arial"/>
          <w:b/>
          <w:color w:val="auto"/>
          <w:kern w:val="0"/>
          <w:sz w:val="24"/>
          <w:highlight w:val="none"/>
        </w:rPr>
        <w:t>质量保证</w:t>
      </w:r>
      <w:bookmarkEnd w:id="30"/>
      <w:bookmarkEnd w:id="31"/>
      <w:bookmarkEnd w:id="32"/>
    </w:p>
    <w:p>
      <w:pPr>
        <w:numPr>
          <w:ilvl w:val="1"/>
          <w:numId w:val="23"/>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自本项目验收合格后</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年为免费服务质量保证期（即质保期）。</w:t>
      </w:r>
    </w:p>
    <w:p>
      <w:pPr>
        <w:numPr>
          <w:ilvl w:val="1"/>
          <w:numId w:val="23"/>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在服务质量保证期内，乙方应提供免费支持服务。由于咨询服务的质量瑕疵等导致项目不能正常运行的，乙方应及时采取补救措施排除故障及隐患，由此产生的费用由乙方支付。因项目不能正常运作给甲方带来的损失由乙方承担。支持服务的内容和方式由乙方提出计划并经甲方确认。</w:t>
      </w:r>
    </w:p>
    <w:p>
      <w:pPr>
        <w:numPr>
          <w:ilvl w:val="1"/>
          <w:numId w:val="23"/>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乙方保证在本合同项下提供给甲方的工作成果符合甲方提前告知的质量体系要求，向甲方提供的交付物符合甲方提前告知的规范要求。质保期内</w:t>
      </w:r>
      <w:r>
        <w:rPr>
          <w:rFonts w:hint="default" w:ascii="Arial" w:hAnsi="Arial" w:cs="Arial"/>
          <w:color w:val="auto"/>
          <w:kern w:val="0"/>
          <w:sz w:val="24"/>
          <w:highlight w:val="none"/>
          <w:lang w:val="zh-CN"/>
        </w:rPr>
        <w:t>甲方有权要求乙方免费对服务成果的瑕疵和</w:t>
      </w:r>
      <w:r>
        <w:rPr>
          <w:rFonts w:hint="default" w:ascii="Arial" w:hAnsi="Arial" w:cs="Arial"/>
          <w:color w:val="auto"/>
          <w:sz w:val="24"/>
          <w:highlight w:val="none"/>
        </w:rPr>
        <w:t>质量缺陷采取补救措施，直至该成果符合本合同的质量要求</w:t>
      </w:r>
      <w:r>
        <w:rPr>
          <w:rFonts w:hint="default" w:ascii="Arial" w:hAnsi="Arial" w:cs="Arial"/>
          <w:color w:val="auto"/>
          <w:sz w:val="24"/>
          <w:szCs w:val="24"/>
          <w:highlight w:val="none"/>
        </w:rPr>
        <w:t>。</w:t>
      </w:r>
    </w:p>
    <w:p>
      <w:pPr>
        <w:numPr>
          <w:ilvl w:val="1"/>
          <w:numId w:val="23"/>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甲方按乙方出具的咨询服务报告和意见做出决策所造成的损失，由乙方承担。</w:t>
      </w:r>
    </w:p>
    <w:p>
      <w:pPr>
        <w:shd w:val="clear"/>
        <w:spacing w:line="360" w:lineRule="auto"/>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33" w:name="_Toc8885"/>
      <w:r>
        <w:rPr>
          <w:rFonts w:hint="default" w:ascii="Arial" w:hAnsi="Arial" w:cs="Arial"/>
          <w:b/>
          <w:color w:val="auto"/>
          <w:kern w:val="0"/>
          <w:sz w:val="24"/>
          <w:highlight w:val="none"/>
        </w:rPr>
        <w:t>合同期限、合同的解除</w:t>
      </w:r>
      <w:bookmarkEnd w:id="33"/>
    </w:p>
    <w:p>
      <w:pPr>
        <w:numPr>
          <w:ilvl w:val="1"/>
          <w:numId w:val="24"/>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除非有提前终止的事由出现，本合同有效期截至双方全部履行完成本合同项下的义务时终止。</w:t>
      </w:r>
    </w:p>
    <w:p>
      <w:pPr>
        <w:numPr>
          <w:ilvl w:val="1"/>
          <w:numId w:val="24"/>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甲、乙双方协商一致，可以解除本合同。</w:t>
      </w:r>
    </w:p>
    <w:p>
      <w:pPr>
        <w:numPr>
          <w:ilvl w:val="1"/>
          <w:numId w:val="24"/>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本合同一方严重违反其在本合同项下的任何义务，并且未能在对方发出书面通知指明该违约事项后</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个工作日内改正的，守约方有权解除合同，合同自书面通知送达之日解除。</w:t>
      </w:r>
    </w:p>
    <w:p>
      <w:pPr>
        <w:numPr>
          <w:ilvl w:val="1"/>
          <w:numId w:val="24"/>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乙方有下列情形之一的，甲方可单方解除部分或全部合同：</w:t>
      </w:r>
    </w:p>
    <w:p>
      <w:pPr>
        <w:numPr>
          <w:ilvl w:val="2"/>
          <w:numId w:val="25"/>
        </w:numPr>
        <w:shd w:val="clear"/>
        <w:overflowPunct w:val="0"/>
        <w:autoSpaceDE w:val="0"/>
        <w:autoSpaceDN w:val="0"/>
        <w:adjustRightInd w:val="0"/>
        <w:spacing w:line="360" w:lineRule="auto"/>
        <w:ind w:left="851"/>
        <w:jc w:val="left"/>
        <w:rPr>
          <w:rFonts w:ascii="Arial" w:hAnsi="Arial" w:cs="Arial"/>
          <w:color w:val="auto"/>
          <w:sz w:val="24"/>
          <w:szCs w:val="24"/>
          <w:highlight w:val="none"/>
        </w:rPr>
      </w:pPr>
      <w:r>
        <w:rPr>
          <w:rFonts w:hint="default" w:ascii="Arial" w:hAnsi="Arial" w:cs="Arial"/>
          <w:color w:val="auto"/>
          <w:sz w:val="24"/>
          <w:szCs w:val="24"/>
          <w:highlight w:val="none"/>
        </w:rPr>
        <w:t>如果乙方未能按合同规定的期限或甲方同意延长的限期内完成咨询工作的；</w:t>
      </w:r>
    </w:p>
    <w:p>
      <w:pPr>
        <w:numPr>
          <w:ilvl w:val="2"/>
          <w:numId w:val="25"/>
        </w:numPr>
        <w:shd w:val="clear"/>
        <w:overflowPunct w:val="0"/>
        <w:autoSpaceDE w:val="0"/>
        <w:autoSpaceDN w:val="0"/>
        <w:adjustRightInd w:val="0"/>
        <w:spacing w:line="360" w:lineRule="auto"/>
        <w:ind w:left="851"/>
        <w:jc w:val="left"/>
        <w:rPr>
          <w:rFonts w:ascii="Arial" w:hAnsi="Arial" w:cs="Arial"/>
          <w:color w:val="auto"/>
          <w:sz w:val="24"/>
          <w:szCs w:val="24"/>
          <w:highlight w:val="none"/>
        </w:rPr>
      </w:pPr>
      <w:r>
        <w:rPr>
          <w:rFonts w:hint="default" w:ascii="Arial" w:hAnsi="Arial" w:cs="Arial"/>
          <w:color w:val="auto"/>
          <w:sz w:val="24"/>
          <w:szCs w:val="24"/>
          <w:highlight w:val="none"/>
        </w:rPr>
        <w:t>乙方在收到甲方发出的违约通知后</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天内，或经甲方书面认可延长的时间内未能纠正其过失；</w:t>
      </w:r>
    </w:p>
    <w:p>
      <w:pPr>
        <w:numPr>
          <w:ilvl w:val="2"/>
          <w:numId w:val="25"/>
        </w:numPr>
        <w:shd w:val="clear"/>
        <w:overflowPunct w:val="0"/>
        <w:autoSpaceDE w:val="0"/>
        <w:autoSpaceDN w:val="0"/>
        <w:adjustRightInd w:val="0"/>
        <w:spacing w:line="360" w:lineRule="auto"/>
        <w:ind w:left="851"/>
        <w:jc w:val="left"/>
        <w:rPr>
          <w:rFonts w:ascii="Arial" w:hAnsi="Arial" w:cs="Arial"/>
          <w:color w:val="auto"/>
          <w:sz w:val="24"/>
          <w:szCs w:val="24"/>
          <w:highlight w:val="none"/>
        </w:rPr>
      </w:pPr>
      <w:r>
        <w:rPr>
          <w:rFonts w:hint="default" w:ascii="Arial" w:hAnsi="Arial" w:cs="Arial"/>
          <w:color w:val="auto"/>
          <w:sz w:val="24"/>
          <w:szCs w:val="24"/>
          <w:highlight w:val="none"/>
        </w:rPr>
        <w:t>如果乙方未能履行合同规定的其他义务；</w:t>
      </w:r>
    </w:p>
    <w:p>
      <w:pPr>
        <w:numPr>
          <w:ilvl w:val="2"/>
          <w:numId w:val="25"/>
        </w:numPr>
        <w:shd w:val="clear"/>
        <w:overflowPunct w:val="0"/>
        <w:autoSpaceDE w:val="0"/>
        <w:autoSpaceDN w:val="0"/>
        <w:adjustRightInd w:val="0"/>
        <w:spacing w:line="360" w:lineRule="auto"/>
        <w:ind w:left="851"/>
        <w:jc w:val="left"/>
        <w:rPr>
          <w:rFonts w:ascii="Arial" w:hAnsi="Arial" w:cs="Arial"/>
          <w:color w:val="auto"/>
          <w:sz w:val="24"/>
          <w:szCs w:val="24"/>
          <w:highlight w:val="none"/>
        </w:rPr>
      </w:pPr>
      <w:r>
        <w:rPr>
          <w:rFonts w:hint="default" w:ascii="Arial" w:hAnsi="Arial" w:cs="Arial"/>
          <w:color w:val="auto"/>
          <w:sz w:val="24"/>
          <w:szCs w:val="24"/>
          <w:highlight w:val="none"/>
        </w:rPr>
        <w:t>出现法律规定可以解除合同的事由。</w:t>
      </w:r>
    </w:p>
    <w:p>
      <w:pPr>
        <w:shd w:val="clear"/>
        <w:overflowPunct w:val="0"/>
        <w:autoSpaceDE w:val="0"/>
        <w:autoSpaceDN w:val="0"/>
        <w:adjustRightInd w:val="0"/>
        <w:spacing w:line="360" w:lineRule="auto"/>
        <w:ind w:left="431" w:firstLine="420"/>
        <w:jc w:val="left"/>
        <w:rPr>
          <w:rFonts w:ascii="Arial" w:hAnsi="Arial" w:cs="Arial"/>
          <w:color w:val="auto"/>
          <w:sz w:val="24"/>
          <w:szCs w:val="24"/>
          <w:highlight w:val="none"/>
        </w:rPr>
      </w:pPr>
      <w:r>
        <w:rPr>
          <w:rFonts w:hint="default" w:ascii="Arial" w:hAnsi="Arial" w:cs="Arial"/>
          <w:color w:val="auto"/>
          <w:sz w:val="24"/>
          <w:szCs w:val="24"/>
          <w:highlight w:val="none"/>
        </w:rPr>
        <w:t>发生上述情形之一的，甲方可发出解除部分或全部合同的书面通知，合同自通知送达之日起解除。</w:t>
      </w:r>
    </w:p>
    <w:p>
      <w:pPr>
        <w:shd w:val="clear"/>
        <w:overflowPunct w:val="0"/>
        <w:autoSpaceDE w:val="0"/>
        <w:autoSpaceDN w:val="0"/>
        <w:adjustRightInd w:val="0"/>
        <w:spacing w:line="360" w:lineRule="auto"/>
        <w:ind w:left="431" w:firstLine="420"/>
        <w:jc w:val="left"/>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34" w:name="_Toc5734"/>
      <w:bookmarkStart w:id="35" w:name="_Toc26493"/>
      <w:bookmarkStart w:id="36" w:name="_Toc365467761"/>
      <w:r>
        <w:rPr>
          <w:rFonts w:hint="default" w:ascii="Arial" w:hAnsi="Arial" w:cs="Arial"/>
          <w:b/>
          <w:color w:val="auto"/>
          <w:kern w:val="0"/>
          <w:sz w:val="24"/>
          <w:highlight w:val="none"/>
        </w:rPr>
        <w:t>不可抗力</w:t>
      </w:r>
      <w:bookmarkEnd w:id="34"/>
      <w:bookmarkEnd w:id="35"/>
      <w:bookmarkEnd w:id="36"/>
    </w:p>
    <w:p>
      <w:pPr>
        <w:numPr>
          <w:ilvl w:val="1"/>
          <w:numId w:val="26"/>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本条所述的“不可抗力”系指那些双方无法控制、不可预见的事件，但不包括乙方的违约或疏忽。这些事件包括：战争、严重火灾、洪水、台风、地震。</w:t>
      </w:r>
    </w:p>
    <w:p>
      <w:pPr>
        <w:numPr>
          <w:ilvl w:val="1"/>
          <w:numId w:val="26"/>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当事人一方因不可抗力不能履行合同的，根据不可抗力的影响，部分或全部免除责任。但当事人一方应及时通知对方，并采取适当措施防止损失扩大，同时应在一周内提供事件详情及不能履行其在本合同项下的全部或部分义务的理由的有效文件，上述有效文件应由事件发生地政府主管部门出具或经公证机构出具公证证明。不可抗力事件发生后双方应立即协商寻找合理办法，并尽一切努力减轻不可抗力的影响后果。</w:t>
      </w:r>
    </w:p>
    <w:p>
      <w:pPr>
        <w:numPr>
          <w:ilvl w:val="1"/>
          <w:numId w:val="26"/>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在不可抗力发生后及其持续期间，双方应尽其可能继续履行其在本合同项下的义务，乙方应在出现这种情况期间保护和确保项目实施安全。乙方应通知甲方其所建议采取的有关保护措施。</w:t>
      </w:r>
    </w:p>
    <w:p>
      <w:pPr>
        <w:numPr>
          <w:ilvl w:val="1"/>
          <w:numId w:val="26"/>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按本合同要求发出的通知、要求、同意和其他文件均应采用书面形式。合同第14.2款提及的“有效文件”可采用当面递交或邮寄方式送达。通知等其他文件可采取当面递交或传真方式发送至对方。</w:t>
      </w:r>
    </w:p>
    <w:p>
      <w:pPr>
        <w:shd w:val="clear"/>
        <w:spacing w:line="360" w:lineRule="auto"/>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37" w:name="_Toc2509"/>
      <w:bookmarkStart w:id="38" w:name="_Toc365467762"/>
      <w:bookmarkStart w:id="39" w:name="_Toc18270"/>
      <w:r>
        <w:rPr>
          <w:rFonts w:hint="default" w:ascii="Arial" w:hAnsi="Arial" w:cs="Arial"/>
          <w:b/>
          <w:color w:val="auto"/>
          <w:kern w:val="0"/>
          <w:sz w:val="24"/>
          <w:highlight w:val="none"/>
        </w:rPr>
        <w:t>适用法律和争议解决</w:t>
      </w:r>
      <w:bookmarkEnd w:id="37"/>
      <w:bookmarkEnd w:id="38"/>
      <w:bookmarkEnd w:id="39"/>
    </w:p>
    <w:p>
      <w:pPr>
        <w:numPr>
          <w:ilvl w:val="1"/>
          <w:numId w:val="27"/>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本合同的订立、效力、解释、履行和争议的解决适用中华人民共和国法律。</w:t>
      </w:r>
    </w:p>
    <w:p>
      <w:pPr>
        <w:numPr>
          <w:ilvl w:val="1"/>
          <w:numId w:val="27"/>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凡有关本合同或执行本合同中发生的争端，双方应通过友好协商，妥善解决。如通过协商仍不能解决时，可向甲方所在地的人民法院进行诉讼。</w:t>
      </w:r>
    </w:p>
    <w:p>
      <w:pPr>
        <w:numPr>
          <w:ilvl w:val="1"/>
          <w:numId w:val="27"/>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在诉讼期间，除正在进行诉讼的部分外，合同其他部分应继续执行，双方继续行使其他部分权利及义务。</w:t>
      </w:r>
    </w:p>
    <w:p>
      <w:pPr>
        <w:shd w:val="clear"/>
        <w:spacing w:line="360" w:lineRule="auto"/>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40" w:name="_Toc20671"/>
      <w:r>
        <w:rPr>
          <w:rFonts w:hint="default" w:ascii="Arial" w:hAnsi="Arial" w:cs="Arial"/>
          <w:b/>
          <w:color w:val="auto"/>
          <w:kern w:val="0"/>
          <w:sz w:val="24"/>
          <w:highlight w:val="none"/>
        </w:rPr>
        <w:t>合同的变更</w:t>
      </w:r>
      <w:bookmarkEnd w:id="40"/>
    </w:p>
    <w:p>
      <w:pPr>
        <w:numPr>
          <w:ilvl w:val="1"/>
          <w:numId w:val="28"/>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对本合同的任何变更、修改，均需双方按本条规定的程序做出方为有效。</w:t>
      </w:r>
    </w:p>
    <w:p>
      <w:pPr>
        <w:numPr>
          <w:ilvl w:val="1"/>
          <w:numId w:val="28"/>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如果一方需变更、修改合同条款的，应提前</w:t>
      </w:r>
      <w:r>
        <w:rPr>
          <w:rFonts w:hint="default" w:ascii="Arial" w:hAnsi="Arial" w:cs="Arial"/>
          <w:color w:val="auto"/>
          <w:sz w:val="24"/>
          <w:szCs w:val="24"/>
          <w:highlight w:val="none"/>
          <w:u w:val="single"/>
        </w:rPr>
        <w:t xml:space="preserve">   </w:t>
      </w:r>
      <w:r>
        <w:rPr>
          <w:rFonts w:hint="default" w:ascii="Arial" w:hAnsi="Arial" w:cs="Arial"/>
          <w:color w:val="auto"/>
          <w:sz w:val="24"/>
          <w:szCs w:val="24"/>
          <w:highlight w:val="none"/>
        </w:rPr>
        <w:t>个工作日书面通知另一方，经双方协商达成一致后，双方另行签署《合同变更书》，如果《合同变更书》条款与本合同条款有冲突，应以《合同变更书》条款为准。</w:t>
      </w:r>
    </w:p>
    <w:p>
      <w:pPr>
        <w:shd w:val="clear"/>
        <w:spacing w:line="360" w:lineRule="auto"/>
        <w:ind w:left="454"/>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41" w:name="_Toc6901"/>
      <w:bookmarkStart w:id="42" w:name="_Toc24190"/>
      <w:bookmarkStart w:id="43" w:name="_Toc365467764"/>
      <w:r>
        <w:rPr>
          <w:rFonts w:hint="default" w:ascii="Arial" w:hAnsi="Arial" w:cs="Arial"/>
          <w:b/>
          <w:color w:val="auto"/>
          <w:kern w:val="0"/>
          <w:sz w:val="24"/>
          <w:highlight w:val="none"/>
        </w:rPr>
        <w:t>合同生效及其它</w:t>
      </w:r>
      <w:bookmarkEnd w:id="41"/>
      <w:bookmarkEnd w:id="42"/>
      <w:bookmarkEnd w:id="43"/>
      <w:r>
        <w:rPr>
          <w:rFonts w:hint="default" w:ascii="Arial" w:hAnsi="Arial" w:cs="Arial"/>
          <w:b/>
          <w:color w:val="auto"/>
          <w:kern w:val="0"/>
          <w:sz w:val="24"/>
          <w:highlight w:val="none"/>
        </w:rPr>
        <w:t xml:space="preserve"> </w:t>
      </w:r>
    </w:p>
    <w:p>
      <w:pPr>
        <w:numPr>
          <w:ilvl w:val="1"/>
          <w:numId w:val="29"/>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合同自双方均加盖公章之日起生效。</w:t>
      </w:r>
    </w:p>
    <w:p>
      <w:pPr>
        <w:numPr>
          <w:ilvl w:val="1"/>
          <w:numId w:val="29"/>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本合同一式肆份，以中文书写，甲方执贰份、乙方执贰份，具有同等效力。</w:t>
      </w:r>
    </w:p>
    <w:p>
      <w:pPr>
        <w:numPr>
          <w:ilvl w:val="1"/>
          <w:numId w:val="29"/>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 xml:space="preserve"> 本合同的附件为本合同不可分割的组成部分，并且与本合同正文的条款具有同等效力。</w:t>
      </w:r>
    </w:p>
    <w:p>
      <w:pPr>
        <w:shd w:val="clear"/>
        <w:spacing w:line="360" w:lineRule="auto"/>
        <w:ind w:left="454"/>
        <w:rPr>
          <w:rFonts w:ascii="Arial" w:hAnsi="Arial" w:cs="Arial"/>
          <w:color w:val="auto"/>
          <w:sz w:val="24"/>
          <w:szCs w:val="24"/>
          <w:highlight w:val="none"/>
        </w:rPr>
      </w:pPr>
    </w:p>
    <w:p>
      <w:pPr>
        <w:keepNext/>
        <w:keepLines/>
        <w:numPr>
          <w:ilvl w:val="0"/>
          <w:numId w:val="10"/>
        </w:numPr>
        <w:shd w:val="clear"/>
        <w:spacing w:line="360" w:lineRule="auto"/>
        <w:outlineLvl w:val="1"/>
        <w:rPr>
          <w:rFonts w:ascii="Arial" w:hAnsi="Arial" w:cs="Arial"/>
          <w:b/>
          <w:color w:val="auto"/>
          <w:kern w:val="0"/>
          <w:sz w:val="24"/>
          <w:highlight w:val="none"/>
        </w:rPr>
      </w:pPr>
      <w:bookmarkStart w:id="44" w:name="_Toc31050"/>
      <w:bookmarkStart w:id="45" w:name="_Toc365467765"/>
      <w:bookmarkStart w:id="46" w:name="_Toc2249"/>
      <w:r>
        <w:rPr>
          <w:rFonts w:hint="default" w:ascii="Arial" w:hAnsi="Arial" w:cs="Arial"/>
          <w:b/>
          <w:color w:val="auto"/>
          <w:kern w:val="0"/>
          <w:sz w:val="24"/>
          <w:highlight w:val="none"/>
        </w:rPr>
        <w:t>未尽事宜</w:t>
      </w:r>
      <w:bookmarkEnd w:id="44"/>
      <w:bookmarkEnd w:id="45"/>
      <w:bookmarkEnd w:id="46"/>
    </w:p>
    <w:p>
      <w:pPr>
        <w:numPr>
          <w:ilvl w:val="1"/>
          <w:numId w:val="30"/>
        </w:num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本合同未尽事宜应按《中华人民共和国民法</w:t>
      </w:r>
      <w:r>
        <w:rPr>
          <w:rFonts w:ascii="Arial" w:hAnsi="Arial" w:cs="Arial"/>
          <w:color w:val="auto"/>
          <w:sz w:val="24"/>
          <w:szCs w:val="24"/>
          <w:highlight w:val="none"/>
        </w:rPr>
        <w:t>典</w:t>
      </w:r>
      <w:r>
        <w:rPr>
          <w:rFonts w:hint="default" w:ascii="Arial" w:hAnsi="Arial" w:cs="Arial"/>
          <w:color w:val="auto"/>
          <w:sz w:val="24"/>
          <w:szCs w:val="24"/>
          <w:highlight w:val="none"/>
        </w:rPr>
        <w:t>》之规定解释。</w:t>
      </w:r>
    </w:p>
    <w:p>
      <w:pPr>
        <w:shd w:val="clear"/>
        <w:spacing w:line="360" w:lineRule="auto"/>
        <w:rPr>
          <w:rFonts w:ascii="Arial" w:hAnsi="Arial" w:cs="Arial"/>
          <w:color w:val="auto"/>
          <w:sz w:val="24"/>
          <w:szCs w:val="24"/>
          <w:highlight w:val="none"/>
        </w:rPr>
      </w:pPr>
    </w:p>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合同附件：</w:t>
      </w:r>
    </w:p>
    <w:p>
      <w:pPr>
        <w:shd w:val="clear"/>
        <w:spacing w:line="360" w:lineRule="auto"/>
        <w:rPr>
          <w:rFonts w:ascii="Arial" w:hAnsi="Arial" w:cs="Arial"/>
          <w:color w:val="auto"/>
          <w:sz w:val="24"/>
          <w:szCs w:val="24"/>
          <w:highlight w:val="none"/>
        </w:rPr>
      </w:pPr>
    </w:p>
    <w:p>
      <w:p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附件：《工作说明书》</w:t>
      </w:r>
    </w:p>
    <w:p>
      <w:p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附件：《保密协议》（需盖章确认）</w:t>
      </w:r>
    </w:p>
    <w:p>
      <w:pPr>
        <w:shd w:val="clear"/>
        <w:spacing w:line="360" w:lineRule="auto"/>
        <w:rPr>
          <w:rFonts w:ascii="Arial" w:hAnsi="Arial" w:cs="Arial"/>
          <w:color w:val="auto"/>
          <w:sz w:val="24"/>
          <w:szCs w:val="24"/>
          <w:highlight w:val="none"/>
        </w:rPr>
      </w:pPr>
    </w:p>
    <w:p>
      <w:pPr>
        <w:shd w:val="clear"/>
        <w:spacing w:line="360" w:lineRule="auto"/>
        <w:rPr>
          <w:rFonts w:ascii="Arial" w:hAnsi="Arial" w:cs="Arial"/>
          <w:b/>
          <w:color w:val="auto"/>
          <w:sz w:val="24"/>
          <w:szCs w:val="24"/>
          <w:highlight w:val="none"/>
        </w:rPr>
      </w:pPr>
      <w:r>
        <w:rPr>
          <w:rFonts w:hint="default" w:ascii="Arial" w:hAnsi="Arial" w:cs="Arial"/>
          <w:b/>
          <w:color w:val="auto"/>
          <w:sz w:val="24"/>
          <w:szCs w:val="24"/>
          <w:highlight w:val="none"/>
        </w:rPr>
        <w:t>协议签署：</w:t>
      </w:r>
    </w:p>
    <w:p>
      <w:pPr>
        <w:shd w:val="clear"/>
        <w:spacing w:line="360" w:lineRule="auto"/>
        <w:rPr>
          <w:rFonts w:ascii="Arial" w:hAnsi="Arial" w:cs="Arial"/>
          <w:b/>
          <w:color w:val="auto"/>
          <w:sz w:val="24"/>
          <w:szCs w:val="24"/>
          <w:highlight w:val="none"/>
        </w:rPr>
      </w:pPr>
    </w:p>
    <w:p>
      <w:p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甲方：江苏昆山农村商业银行股份有限公司       乙方：</w:t>
      </w:r>
    </w:p>
    <w:p>
      <w:pPr>
        <w:shd w:val="clear"/>
        <w:spacing w:line="360" w:lineRule="auto"/>
        <w:rPr>
          <w:rFonts w:ascii="Arial" w:hAnsi="Arial" w:cs="Arial"/>
          <w:color w:val="auto"/>
          <w:sz w:val="24"/>
          <w:szCs w:val="24"/>
          <w:highlight w:val="none"/>
        </w:rPr>
      </w:pPr>
    </w:p>
    <w:p>
      <w:p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 xml:space="preserve">                                 法定代表人/有权签署人：</w:t>
      </w:r>
    </w:p>
    <w:p>
      <w:p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或授权代理人：                              （签名或盖章）</w:t>
      </w:r>
    </w:p>
    <w:p>
      <w:pPr>
        <w:shd w:val="clear"/>
        <w:spacing w:line="360" w:lineRule="auto"/>
        <w:rPr>
          <w:rFonts w:ascii="Arial" w:hAnsi="Arial" w:cs="Arial"/>
          <w:color w:val="auto"/>
          <w:sz w:val="24"/>
          <w:szCs w:val="24"/>
          <w:highlight w:val="none"/>
        </w:rPr>
      </w:pPr>
    </w:p>
    <w:p>
      <w:pPr>
        <w:shd w:val="clear"/>
        <w:spacing w:line="360" w:lineRule="auto"/>
        <w:rPr>
          <w:rFonts w:ascii="Arial" w:hAnsi="Arial" w:cs="Arial"/>
          <w:color w:val="auto"/>
          <w:sz w:val="24"/>
          <w:szCs w:val="24"/>
          <w:highlight w:val="none"/>
        </w:rPr>
      </w:pPr>
      <w:r>
        <w:rPr>
          <w:rFonts w:hint="default" w:ascii="Arial" w:hAnsi="Arial" w:cs="Arial"/>
          <w:color w:val="auto"/>
          <w:sz w:val="24"/>
          <w:szCs w:val="24"/>
          <w:highlight w:val="none"/>
        </w:rPr>
        <w:t>日期：    年   月  日                             日期：    年   月  日</w:t>
      </w:r>
    </w:p>
    <w:p>
      <w:pPr>
        <w:shd w:val="clear"/>
        <w:spacing w:line="360" w:lineRule="auto"/>
        <w:jc w:val="both"/>
        <w:rPr>
          <w:rFonts w:ascii="Arial" w:hAnsi="Arial" w:cs="Arial"/>
          <w:color w:val="auto"/>
          <w:sz w:val="24"/>
          <w:szCs w:val="24"/>
          <w:highlight w:val="none"/>
        </w:rPr>
      </w:pPr>
    </w:p>
    <w:p>
      <w:pPr>
        <w:widowControl/>
        <w:shd w:val="clear"/>
        <w:jc w:val="right"/>
        <w:rPr>
          <w:rFonts w:ascii="Arial" w:hAnsi="Arial" w:eastAsia="仿宋_GB2312" w:cs="Arial"/>
          <w:color w:val="auto"/>
          <w:sz w:val="28"/>
          <w:szCs w:val="28"/>
          <w:highlight w:val="none"/>
        </w:rPr>
      </w:pPr>
      <w:r>
        <w:rPr>
          <w:rFonts w:hint="default" w:ascii="Arial" w:hAnsi="Arial" w:cs="Arial"/>
          <w:color w:val="auto"/>
          <w:sz w:val="24"/>
          <w:szCs w:val="24"/>
          <w:highlight w:val="none"/>
        </w:rPr>
        <w:t>合同签署地：江苏昆山</w:t>
      </w:r>
    </w:p>
    <w:p>
      <w:pPr>
        <w:shd w:val="clear"/>
        <w:snapToGrid w:val="0"/>
        <w:spacing w:line="520" w:lineRule="exact"/>
        <w:outlineLvl w:val="1"/>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附件6：《供应商反腐败/反贿赂承诺书》</w:t>
      </w:r>
    </w:p>
    <w:p>
      <w:pPr>
        <w:shd w:val="clear"/>
        <w:spacing w:line="520" w:lineRule="exact"/>
        <w:jc w:val="center"/>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供应商反腐败/反贿赂承诺书</w:t>
      </w:r>
    </w:p>
    <w:p>
      <w:pPr>
        <w:shd w:val="clear"/>
        <w:spacing w:line="520" w:lineRule="exact"/>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江苏昆山农村商业银行股份有限公司：</w:t>
      </w:r>
    </w:p>
    <w:p>
      <w:pPr>
        <w:shd w:val="clear"/>
        <w:spacing w:line="520" w:lineRule="exact"/>
        <w:ind w:firstLine="560" w:firstLineChars="20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本公司自愿与贵行合作，互惠共赢，确保采购招投标活动的规范与廉洁，从源头上预防和遏制违法违纪问题的发生，特作以下承诺：</w:t>
      </w:r>
    </w:p>
    <w:p>
      <w:pPr>
        <w:shd w:val="clear"/>
        <w:spacing w:line="520" w:lineRule="exact"/>
        <w:ind w:firstLine="560" w:firstLineChars="20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1、在业务往来中，严格遵守国家有关的法律法规和廉洁从业规定，坚持公平、公开、公正、诚实信用的原则，决不损害国家和企业利益。</w:t>
      </w:r>
    </w:p>
    <w:p>
      <w:pPr>
        <w:shd w:val="clear"/>
        <w:spacing w:line="520" w:lineRule="exact"/>
        <w:ind w:firstLine="560" w:firstLineChars="20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2、本公司（含公司工作人员，下同）决不向贵行工作人员（含工作人员的配偶、子女及亲属，下同）馈赠礼品（包括但不限于现金、有价证券、支付凭证及贵重物品等）。</w:t>
      </w:r>
    </w:p>
    <w:p>
      <w:pPr>
        <w:shd w:val="clear"/>
        <w:spacing w:line="520" w:lineRule="exact"/>
        <w:ind w:firstLine="560" w:firstLineChars="20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3、本公司决不向贵行工作人员提供宴请、联谊活动、度假、旅游，以及到营业性娱乐场所消费。</w:t>
      </w:r>
    </w:p>
    <w:p>
      <w:pPr>
        <w:shd w:val="clear"/>
        <w:spacing w:line="520" w:lineRule="exact"/>
        <w:ind w:firstLine="560" w:firstLineChars="20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4、本公司决不为贵行工作人员安排工作，以及支付应由其个人自付的各种费用。</w:t>
      </w:r>
    </w:p>
    <w:p>
      <w:pPr>
        <w:shd w:val="clear"/>
        <w:spacing w:line="520" w:lineRule="exact"/>
        <w:ind w:firstLine="560" w:firstLineChars="20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5、若本公司发现贵行工作人员有违反本承诺书行为倾向的，应及时提醒纠正并向贵行监督管理部门举报。</w:t>
      </w:r>
    </w:p>
    <w:p>
      <w:pPr>
        <w:shd w:val="clear"/>
        <w:spacing w:line="520" w:lineRule="exact"/>
        <w:ind w:firstLine="560" w:firstLineChars="20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6、如发现本公司违反承诺，经贵行监督管理部门认定违规事实后，按照下列规定进行处罚。</w:t>
      </w:r>
    </w:p>
    <w:p>
      <w:pPr>
        <w:shd w:val="clear"/>
        <w:spacing w:line="520" w:lineRule="exact"/>
        <w:ind w:firstLine="560" w:firstLineChars="20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（1）同意按照合作项目合同总金额的5%支付违约金。</w:t>
      </w:r>
    </w:p>
    <w:p>
      <w:pPr>
        <w:shd w:val="clear"/>
        <w:spacing w:line="520" w:lineRule="exact"/>
        <w:ind w:firstLine="560" w:firstLineChars="20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（2）同意贵行解除相关合同，由此造成贵行的损失概由本公司完全承担并赔偿。</w:t>
      </w:r>
    </w:p>
    <w:p>
      <w:pPr>
        <w:shd w:val="clear"/>
        <w:spacing w:line="520" w:lineRule="exact"/>
        <w:ind w:firstLine="560" w:firstLineChars="200"/>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（3）承担由此产生的全部法律责任。</w:t>
      </w:r>
    </w:p>
    <w:p>
      <w:pPr>
        <w:shd w:val="clear"/>
        <w:spacing w:line="520" w:lineRule="exact"/>
        <w:ind w:firstLine="600"/>
        <w:rPr>
          <w:rFonts w:ascii="Arial" w:hAnsi="Arial" w:eastAsia="仿宋_GB2312" w:cs="Arial"/>
          <w:color w:val="auto"/>
          <w:sz w:val="28"/>
          <w:szCs w:val="28"/>
          <w:highlight w:val="none"/>
        </w:rPr>
      </w:pPr>
    </w:p>
    <w:p>
      <w:pPr>
        <w:shd w:val="clear"/>
        <w:spacing w:line="520" w:lineRule="exact"/>
        <w:ind w:firstLine="600"/>
        <w:jc w:val="right"/>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（公司加盖公章）</w:t>
      </w:r>
    </w:p>
    <w:p>
      <w:pPr>
        <w:shd w:val="clear"/>
        <w:spacing w:line="520" w:lineRule="exact"/>
        <w:ind w:firstLine="600"/>
        <w:jc w:val="right"/>
        <w:rPr>
          <w:rFonts w:ascii="Arial" w:hAnsi="Arial" w:eastAsia="仿宋_GB2312" w:cs="Arial"/>
          <w:color w:val="auto"/>
          <w:sz w:val="28"/>
          <w:szCs w:val="28"/>
          <w:highlight w:val="none"/>
        </w:rPr>
      </w:pPr>
      <w:r>
        <w:rPr>
          <w:rFonts w:hint="default" w:ascii="Arial" w:hAnsi="Arial" w:eastAsia="仿宋_GB2312" w:cs="Arial"/>
          <w:color w:val="auto"/>
          <w:sz w:val="28"/>
          <w:szCs w:val="28"/>
          <w:highlight w:val="none"/>
        </w:rPr>
        <w:t xml:space="preserve">法定代表人/有权签署人（签名或盖章）：           </w:t>
      </w:r>
    </w:p>
    <w:p>
      <w:pPr>
        <w:shd w:val="clear"/>
        <w:spacing w:line="520" w:lineRule="exact"/>
        <w:ind w:right="420"/>
        <w:rPr>
          <w:rFonts w:ascii="Arial" w:hAnsi="Arial" w:cs="Arial"/>
          <w:color w:val="auto"/>
          <w:highlight w:val="none"/>
        </w:rPr>
      </w:pPr>
      <w:r>
        <w:rPr>
          <w:rFonts w:hint="default" w:ascii="Arial" w:hAnsi="Arial" w:eastAsia="仿宋_GB2312" w:cs="Arial"/>
          <w:color w:val="auto"/>
          <w:sz w:val="28"/>
          <w:szCs w:val="28"/>
          <w:highlight w:val="none"/>
        </w:rPr>
        <w:t>日期：</w:t>
      </w:r>
    </w:p>
    <w:sectPr>
      <w:pgSz w:w="11906" w:h="16838"/>
      <w:pgMar w:top="1304" w:right="1797" w:bottom="130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FZXiaoBiaoSong-B05S">
    <w:altName w:val="微软雅黑"/>
    <w:panose1 w:val="00000000000000000000"/>
    <w:charset w:val="00"/>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0562C"/>
    <w:multiLevelType w:val="singleLevel"/>
    <w:tmpl w:val="E8F0562C"/>
    <w:lvl w:ilvl="0" w:tentative="0">
      <w:start w:val="4"/>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lvlText w:val="%1"/>
      <w:lvlJc w:val="left"/>
      <w:pPr>
        <w:tabs>
          <w:tab w:val="left" w:pos="555"/>
        </w:tabs>
        <w:ind w:left="555" w:hanging="555"/>
      </w:pPr>
      <w:rPr>
        <w:rFonts w:hint="default"/>
      </w:rPr>
    </w:lvl>
    <w:lvl w:ilvl="1" w:tentative="0">
      <w:start w:val="1"/>
      <w:numFmt w:val="decimal"/>
      <w:lvlText w:val="4.%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
    <w:nsid w:val="0000000B"/>
    <w:multiLevelType w:val="multilevel"/>
    <w:tmpl w:val="0000000B"/>
    <w:lvl w:ilvl="0" w:tentative="0">
      <w:start w:val="1"/>
      <w:numFmt w:val="japaneseCounting"/>
      <w:lvlText w:val="第%1条"/>
      <w:lvlJc w:val="left"/>
      <w:pPr>
        <w:tabs>
          <w:tab w:val="left" w:pos="720"/>
        </w:tabs>
        <w:ind w:left="720" w:hanging="720"/>
      </w:pPr>
      <w:rPr>
        <w:rFonts w:hint="default"/>
        <w:lang w:val="en-US"/>
      </w:rPr>
    </w:lvl>
    <w:lvl w:ilvl="1" w:tentative="0">
      <w:start w:val="15"/>
      <w:numFmt w:val="decimal"/>
      <w:lvlText w:val="%2．"/>
      <w:lvlJc w:val="left"/>
      <w:pPr>
        <w:tabs>
          <w:tab w:val="left" w:pos="855"/>
        </w:tabs>
        <w:ind w:left="855" w:hanging="435"/>
      </w:pPr>
      <w:rPr>
        <w:rFonts w:hint="default"/>
      </w:rPr>
    </w:lvl>
    <w:lvl w:ilvl="2" w:tentative="0">
      <w:start w:val="1"/>
      <w:numFmt w:val="decimal"/>
      <w:lvlText w:val="%3)"/>
      <w:lvlJc w:val="left"/>
      <w:pPr>
        <w:tabs>
          <w:tab w:val="left" w:pos="907"/>
        </w:tabs>
        <w:ind w:left="907" w:hanging="547"/>
      </w:pPr>
      <w:rPr>
        <w:rFonts w:hint="default"/>
        <w:lang w:val="en-US"/>
      </w:rPr>
    </w:lvl>
    <w:lvl w:ilvl="3" w:tentative="0">
      <w:start w:val="1"/>
      <w:numFmt w:val="decimal"/>
      <w:lvlText w:val="%4、"/>
      <w:lvlJc w:val="left"/>
      <w:pPr>
        <w:tabs>
          <w:tab w:val="left" w:pos="360"/>
        </w:tabs>
        <w:ind w:left="360" w:hanging="360"/>
      </w:pPr>
      <w:rPr>
        <w:rFonts w:hint="default"/>
      </w:rPr>
    </w:lvl>
    <w:lvl w:ilvl="4" w:tentative="0">
      <w:start w:val="1"/>
      <w:numFmt w:val="japaneseCounting"/>
      <w:lvlText w:val="%5、"/>
      <w:lvlJc w:val="left"/>
      <w:pPr>
        <w:tabs>
          <w:tab w:val="left" w:pos="480"/>
        </w:tabs>
        <w:ind w:left="480" w:hanging="48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C"/>
    <w:multiLevelType w:val="multilevel"/>
    <w:tmpl w:val="0000000C"/>
    <w:lvl w:ilvl="0" w:tentative="0">
      <w:start w:val="1"/>
      <w:numFmt w:val="decimal"/>
      <w:lvlText w:val="%1"/>
      <w:lvlJc w:val="left"/>
      <w:pPr>
        <w:tabs>
          <w:tab w:val="left" w:pos="555"/>
        </w:tabs>
        <w:ind w:left="555" w:hanging="555"/>
      </w:pPr>
      <w:rPr>
        <w:rFonts w:hint="default"/>
      </w:rPr>
    </w:lvl>
    <w:lvl w:ilvl="1" w:tentative="0">
      <w:start w:val="1"/>
      <w:numFmt w:val="decimal"/>
      <w:lvlText w:val="3.%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D"/>
    <w:multiLevelType w:val="multilevel"/>
    <w:tmpl w:val="0000000D"/>
    <w:lvl w:ilvl="0" w:tentative="0">
      <w:start w:val="1"/>
      <w:numFmt w:val="decimal"/>
      <w:lvlText w:val="%1"/>
      <w:lvlJc w:val="left"/>
      <w:pPr>
        <w:tabs>
          <w:tab w:val="left" w:pos="555"/>
        </w:tabs>
        <w:ind w:left="555" w:hanging="555"/>
      </w:pPr>
      <w:rPr>
        <w:rFonts w:hint="default"/>
      </w:rPr>
    </w:lvl>
    <w:lvl w:ilvl="1" w:tentative="0">
      <w:start w:val="1"/>
      <w:numFmt w:val="decimal"/>
      <w:lvlText w:val="9.%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0000000E"/>
    <w:multiLevelType w:val="multilevel"/>
    <w:tmpl w:val="0000000E"/>
    <w:lvl w:ilvl="0" w:tentative="0">
      <w:start w:val="1"/>
      <w:numFmt w:val="decimal"/>
      <w:lvlText w:val="%1"/>
      <w:lvlJc w:val="left"/>
      <w:pPr>
        <w:tabs>
          <w:tab w:val="left" w:pos="555"/>
        </w:tabs>
        <w:ind w:left="555" w:hanging="555"/>
      </w:pPr>
      <w:rPr>
        <w:rFonts w:hint="default"/>
      </w:rPr>
    </w:lvl>
    <w:lvl w:ilvl="1" w:tentative="0">
      <w:start w:val="1"/>
      <w:numFmt w:val="decimal"/>
      <w:lvlText w:val="11.%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0000000F"/>
    <w:multiLevelType w:val="multilevel"/>
    <w:tmpl w:val="0000000F"/>
    <w:lvl w:ilvl="0" w:tentative="0">
      <w:start w:val="1"/>
      <w:numFmt w:val="decimal"/>
      <w:lvlText w:val="%1"/>
      <w:lvlJc w:val="left"/>
      <w:pPr>
        <w:tabs>
          <w:tab w:val="left" w:pos="555"/>
        </w:tabs>
        <w:ind w:left="555" w:hanging="555"/>
      </w:pPr>
      <w:rPr>
        <w:rFonts w:hint="default"/>
      </w:rPr>
    </w:lvl>
    <w:lvl w:ilvl="1" w:tentative="0">
      <w:start w:val="1"/>
      <w:numFmt w:val="decimal"/>
      <w:lvlText w:val="10.%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00000010"/>
    <w:multiLevelType w:val="multilevel"/>
    <w:tmpl w:val="00000010"/>
    <w:lvl w:ilvl="0" w:tentative="0">
      <w:start w:val="1"/>
      <w:numFmt w:val="decimal"/>
      <w:lvlText w:val="%1"/>
      <w:lvlJc w:val="left"/>
      <w:pPr>
        <w:tabs>
          <w:tab w:val="left" w:pos="555"/>
        </w:tabs>
        <w:ind w:left="555" w:hanging="555"/>
      </w:pPr>
      <w:rPr>
        <w:rFonts w:hint="default"/>
      </w:rPr>
    </w:lvl>
    <w:lvl w:ilvl="1" w:tentative="0">
      <w:start w:val="1"/>
      <w:numFmt w:val="decimal"/>
      <w:lvlText w:val="14.%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00000012"/>
    <w:multiLevelType w:val="multilevel"/>
    <w:tmpl w:val="00000012"/>
    <w:lvl w:ilvl="0" w:tentative="0">
      <w:start w:val="1"/>
      <w:numFmt w:val="decimal"/>
      <w:lvlText w:val="%1"/>
      <w:lvlJc w:val="left"/>
      <w:pPr>
        <w:tabs>
          <w:tab w:val="left" w:pos="555"/>
        </w:tabs>
        <w:ind w:left="555" w:hanging="555"/>
      </w:pPr>
      <w:rPr>
        <w:rFonts w:hint="default"/>
      </w:rPr>
    </w:lvl>
    <w:lvl w:ilvl="1" w:tentative="0">
      <w:start w:val="1"/>
      <w:numFmt w:val="decimal"/>
      <w:lvlText w:val="12.%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00000015"/>
    <w:multiLevelType w:val="multilevel"/>
    <w:tmpl w:val="00000015"/>
    <w:lvl w:ilvl="0" w:tentative="0">
      <w:start w:val="1"/>
      <w:numFmt w:val="decimal"/>
      <w:lvlText w:val="(%1)"/>
      <w:lvlJc w:val="left"/>
      <w:pPr>
        <w:ind w:left="1080" w:hanging="360"/>
      </w:pPr>
      <w:rPr>
        <w:rFonts w:hint="eastAsia"/>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0">
    <w:nsid w:val="00000017"/>
    <w:multiLevelType w:val="multilevel"/>
    <w:tmpl w:val="00000017"/>
    <w:lvl w:ilvl="0" w:tentative="0">
      <w:start w:val="1"/>
      <w:numFmt w:val="decimal"/>
      <w:lvlText w:val="%1"/>
      <w:lvlJc w:val="left"/>
      <w:pPr>
        <w:tabs>
          <w:tab w:val="left" w:pos="555"/>
        </w:tabs>
        <w:ind w:left="555" w:hanging="555"/>
      </w:pPr>
      <w:rPr>
        <w:rFonts w:hint="default"/>
      </w:rPr>
    </w:lvl>
    <w:lvl w:ilvl="1" w:tentative="0">
      <w:start w:val="1"/>
      <w:numFmt w:val="decimal"/>
      <w:lvlText w:val="17.%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1">
    <w:nsid w:val="00000018"/>
    <w:multiLevelType w:val="multilevel"/>
    <w:tmpl w:val="00000018"/>
    <w:lvl w:ilvl="0" w:tentative="0">
      <w:start w:val="1"/>
      <w:numFmt w:val="decimal"/>
      <w:lvlText w:val="%1"/>
      <w:lvlJc w:val="left"/>
      <w:pPr>
        <w:tabs>
          <w:tab w:val="left" w:pos="555"/>
        </w:tabs>
        <w:ind w:left="555" w:hanging="555"/>
      </w:pPr>
      <w:rPr>
        <w:rFonts w:hint="default"/>
      </w:rPr>
    </w:lvl>
    <w:lvl w:ilvl="1" w:tentative="0">
      <w:start w:val="1"/>
      <w:numFmt w:val="decimal"/>
      <w:lvlText w:val="5.%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00000019"/>
    <w:multiLevelType w:val="multilevel"/>
    <w:tmpl w:val="00000019"/>
    <w:lvl w:ilvl="0" w:tentative="0">
      <w:start w:val="1"/>
      <w:numFmt w:val="decimal"/>
      <w:lvlText w:val="%1"/>
      <w:lvlJc w:val="left"/>
      <w:pPr>
        <w:tabs>
          <w:tab w:val="left" w:pos="555"/>
        </w:tabs>
        <w:ind w:left="555" w:hanging="555"/>
      </w:pPr>
      <w:rPr>
        <w:rFonts w:hint="default"/>
      </w:rPr>
    </w:lvl>
    <w:lvl w:ilvl="1" w:tentative="0">
      <w:start w:val="1"/>
      <w:numFmt w:val="decimal"/>
      <w:lvlText w:val="15.%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
    <w:nsid w:val="0000001A"/>
    <w:multiLevelType w:val="multilevel"/>
    <w:tmpl w:val="0000001A"/>
    <w:lvl w:ilvl="0" w:tentative="0">
      <w:start w:val="1"/>
      <w:numFmt w:val="decimal"/>
      <w:lvlText w:val="%1"/>
      <w:lvlJc w:val="left"/>
      <w:pPr>
        <w:tabs>
          <w:tab w:val="left" w:pos="555"/>
        </w:tabs>
        <w:ind w:left="555" w:hanging="555"/>
      </w:pPr>
      <w:rPr>
        <w:rFonts w:hint="default"/>
      </w:rPr>
    </w:lvl>
    <w:lvl w:ilvl="1" w:tentative="0">
      <w:start w:val="1"/>
      <w:numFmt w:val="decimal"/>
      <w:lvlText w:val="6.%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4">
    <w:nsid w:val="0000001B"/>
    <w:multiLevelType w:val="multilevel"/>
    <w:tmpl w:val="0000001B"/>
    <w:lvl w:ilvl="0" w:tentative="0">
      <w:start w:val="1"/>
      <w:numFmt w:val="decimal"/>
      <w:lvlText w:val="%1"/>
      <w:lvlJc w:val="left"/>
      <w:pPr>
        <w:tabs>
          <w:tab w:val="left" w:pos="555"/>
        </w:tabs>
        <w:ind w:left="555" w:hanging="555"/>
      </w:pPr>
      <w:rPr>
        <w:rFonts w:hint="default"/>
      </w:rPr>
    </w:lvl>
    <w:lvl w:ilvl="1" w:tentative="0">
      <w:start w:val="1"/>
      <w:numFmt w:val="decimal"/>
      <w:lvlText w:val="18.%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5">
    <w:nsid w:val="0000001C"/>
    <w:multiLevelType w:val="multilevel"/>
    <w:tmpl w:val="0000001C"/>
    <w:lvl w:ilvl="0" w:tentative="0">
      <w:start w:val="1"/>
      <w:numFmt w:val="decimal"/>
      <w:lvlText w:val="%1"/>
      <w:lvlJc w:val="left"/>
      <w:pPr>
        <w:tabs>
          <w:tab w:val="left" w:pos="555"/>
        </w:tabs>
        <w:ind w:left="555" w:hanging="555"/>
      </w:pPr>
      <w:rPr>
        <w:rFonts w:hint="default"/>
      </w:rPr>
    </w:lvl>
    <w:lvl w:ilvl="1" w:tentative="0">
      <w:start w:val="1"/>
      <w:numFmt w:val="decimal"/>
      <w:lvlText w:val="7.%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6">
    <w:nsid w:val="0000001D"/>
    <w:multiLevelType w:val="multilevel"/>
    <w:tmpl w:val="0000001D"/>
    <w:lvl w:ilvl="0" w:tentative="0">
      <w:start w:val="1"/>
      <w:numFmt w:val="none"/>
      <w:lvlText w:val="2"/>
      <w:lvlJc w:val="left"/>
      <w:pPr>
        <w:tabs>
          <w:tab w:val="left" w:pos="555"/>
        </w:tabs>
        <w:ind w:left="555" w:hanging="555"/>
      </w:pPr>
      <w:rPr>
        <w:rFonts w:hint="default"/>
      </w:rPr>
    </w:lvl>
    <w:lvl w:ilvl="1" w:tentative="0">
      <w:start w:val="1"/>
      <w:numFmt w:val="decimal"/>
      <w:lvlText w:val="2.%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7">
    <w:nsid w:val="0000001E"/>
    <w:multiLevelType w:val="multilevel"/>
    <w:tmpl w:val="0000001E"/>
    <w:lvl w:ilvl="0" w:tentative="0">
      <w:start w:val="1"/>
      <w:numFmt w:val="decimal"/>
      <w:lvlText w:val="%1"/>
      <w:lvlJc w:val="left"/>
      <w:pPr>
        <w:tabs>
          <w:tab w:val="left" w:pos="555"/>
        </w:tabs>
        <w:ind w:left="555" w:hanging="555"/>
      </w:pPr>
      <w:rPr>
        <w:rFonts w:hint="default"/>
      </w:rPr>
    </w:lvl>
    <w:lvl w:ilvl="1" w:tentative="0">
      <w:start w:val="1"/>
      <w:numFmt w:val="decimal"/>
      <w:lvlText w:val="16.%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8">
    <w:nsid w:val="0000001F"/>
    <w:multiLevelType w:val="multilevel"/>
    <w:tmpl w:val="0000001F"/>
    <w:lvl w:ilvl="0" w:tentative="0">
      <w:start w:val="1"/>
      <w:numFmt w:val="none"/>
      <w:lvlText w:val="1"/>
      <w:lvlJc w:val="left"/>
      <w:pPr>
        <w:tabs>
          <w:tab w:val="left" w:pos="555"/>
        </w:tabs>
        <w:ind w:left="555" w:hanging="555"/>
      </w:pPr>
      <w:rPr>
        <w:rFonts w:hint="default"/>
      </w:rPr>
    </w:lvl>
    <w:lvl w:ilvl="1" w:tentative="0">
      <w:start w:val="1"/>
      <w:numFmt w:val="decimal"/>
      <w:lvlText w:val="1.%2"/>
      <w:lvlJc w:val="left"/>
      <w:pPr>
        <w:tabs>
          <w:tab w:val="left" w:pos="454"/>
        </w:tabs>
        <w:ind w:left="454" w:hanging="454"/>
      </w:pPr>
      <w:rPr>
        <w:rFonts w:hint="default"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9">
    <w:nsid w:val="00000021"/>
    <w:multiLevelType w:val="multilevel"/>
    <w:tmpl w:val="00000021"/>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2"/>
    <w:multiLevelType w:val="multilevel"/>
    <w:tmpl w:val="00000022"/>
    <w:lvl w:ilvl="0" w:tentative="0">
      <w:start w:val="1"/>
      <w:numFmt w:val="decimal"/>
      <w:lvlText w:val="%1"/>
      <w:lvlJc w:val="left"/>
      <w:pPr>
        <w:tabs>
          <w:tab w:val="left" w:pos="555"/>
        </w:tabs>
        <w:ind w:left="555" w:hanging="555"/>
      </w:pPr>
      <w:rPr>
        <w:rFonts w:hint="default"/>
      </w:rPr>
    </w:lvl>
    <w:lvl w:ilvl="1" w:tentative="0">
      <w:start w:val="1"/>
      <w:numFmt w:val="decimal"/>
      <w:lvlText w:val="13.%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3"/>
    <w:multiLevelType w:val="multilevel"/>
    <w:tmpl w:val="00000023"/>
    <w:lvl w:ilvl="0" w:tentative="0">
      <w:start w:val="1"/>
      <w:numFmt w:val="decimal"/>
      <w:lvlText w:val="%1"/>
      <w:lvlJc w:val="left"/>
      <w:pPr>
        <w:tabs>
          <w:tab w:val="left" w:pos="555"/>
        </w:tabs>
        <w:ind w:left="555" w:hanging="555"/>
      </w:pPr>
      <w:rPr>
        <w:rFonts w:hint="default"/>
      </w:rPr>
    </w:lvl>
    <w:lvl w:ilvl="1" w:tentative="0">
      <w:start w:val="1"/>
      <w:numFmt w:val="decimal"/>
      <w:lvlText w:val="8.%2"/>
      <w:lvlJc w:val="left"/>
      <w:pPr>
        <w:tabs>
          <w:tab w:val="left" w:pos="454"/>
        </w:tabs>
        <w:ind w:left="454" w:hanging="454"/>
      </w:pPr>
      <w:rPr>
        <w:rFonts w:hint="eastAsia" w:ascii="Times New Roman" w:hAnsi="Times New Roman" w:eastAsia="宋体"/>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B8B16A6"/>
    <w:multiLevelType w:val="multilevel"/>
    <w:tmpl w:val="0B8B16A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15F6458D"/>
    <w:multiLevelType w:val="multilevel"/>
    <w:tmpl w:val="15F6458D"/>
    <w:lvl w:ilvl="0" w:tentative="0">
      <w:start w:val="1"/>
      <w:numFmt w:val="decimal"/>
      <w:lvlText w:val="%1)"/>
      <w:lvlJc w:val="left"/>
      <w:pPr>
        <w:ind w:left="2104"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160314DE"/>
    <w:multiLevelType w:val="multilevel"/>
    <w:tmpl w:val="160314D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5279BCCF"/>
    <w:multiLevelType w:val="singleLevel"/>
    <w:tmpl w:val="5279BCCF"/>
    <w:lvl w:ilvl="0" w:tentative="0">
      <w:start w:val="1"/>
      <w:numFmt w:val="chineseCounting"/>
      <w:suff w:val="nothing"/>
      <w:lvlText w:val="%1、"/>
      <w:lvlJc w:val="left"/>
    </w:lvl>
  </w:abstractNum>
  <w:abstractNum w:abstractNumId="26">
    <w:nsid w:val="53026CB7"/>
    <w:multiLevelType w:val="singleLevel"/>
    <w:tmpl w:val="53026CB7"/>
    <w:lvl w:ilvl="0" w:tentative="0">
      <w:start w:val="1"/>
      <w:numFmt w:val="decimal"/>
      <w:suff w:val="nothing"/>
      <w:lvlText w:val="%1、"/>
      <w:lvlJc w:val="left"/>
      <w:pPr>
        <w:ind w:left="0" w:firstLine="403"/>
      </w:pPr>
      <w:rPr>
        <w:rFonts w:hint="default"/>
      </w:rPr>
    </w:lvl>
  </w:abstractNum>
  <w:abstractNum w:abstractNumId="27">
    <w:nsid w:val="576AEC53"/>
    <w:multiLevelType w:val="singleLevel"/>
    <w:tmpl w:val="576AEC53"/>
    <w:lvl w:ilvl="0" w:tentative="0">
      <w:start w:val="1"/>
      <w:numFmt w:val="decimal"/>
      <w:suff w:val="nothing"/>
      <w:lvlText w:val="%1、"/>
      <w:lvlJc w:val="left"/>
      <w:pPr>
        <w:ind w:left="0" w:firstLine="403"/>
      </w:pPr>
      <w:rPr>
        <w:rFonts w:hint="default"/>
      </w:rPr>
    </w:lvl>
  </w:abstractNum>
  <w:abstractNum w:abstractNumId="28">
    <w:nsid w:val="5AE6C1ED"/>
    <w:multiLevelType w:val="singleLevel"/>
    <w:tmpl w:val="5AE6C1ED"/>
    <w:lvl w:ilvl="0" w:tentative="0">
      <w:start w:val="1"/>
      <w:numFmt w:val="decimal"/>
      <w:suff w:val="nothing"/>
      <w:lvlText w:val="%1、"/>
      <w:lvlJc w:val="left"/>
      <w:pPr>
        <w:ind w:left="0" w:firstLine="403"/>
      </w:pPr>
      <w:rPr>
        <w:rFonts w:hint="default"/>
      </w:rPr>
    </w:lvl>
  </w:abstractNum>
  <w:abstractNum w:abstractNumId="29">
    <w:nsid w:val="5F50EBB2"/>
    <w:multiLevelType w:val="singleLevel"/>
    <w:tmpl w:val="5F50EBB2"/>
    <w:lvl w:ilvl="0" w:tentative="0">
      <w:start w:val="1"/>
      <w:numFmt w:val="decimalEnclosedCircleChinese"/>
      <w:suff w:val="nothing"/>
      <w:lvlText w:val="%1　"/>
      <w:lvlJc w:val="left"/>
      <w:pPr>
        <w:ind w:left="0" w:firstLine="400"/>
      </w:pPr>
      <w:rPr>
        <w:rFonts w:hint="eastAsia"/>
      </w:rPr>
    </w:lvl>
  </w:abstractNum>
  <w:num w:numId="1">
    <w:abstractNumId w:val="26"/>
  </w:num>
  <w:num w:numId="2">
    <w:abstractNumId w:val="27"/>
  </w:num>
  <w:num w:numId="3">
    <w:abstractNumId w:val="28"/>
  </w:num>
  <w:num w:numId="4">
    <w:abstractNumId w:val="24"/>
  </w:num>
  <w:num w:numId="5">
    <w:abstractNumId w:val="22"/>
  </w:num>
  <w:num w:numId="6">
    <w:abstractNumId w:val="23"/>
  </w:num>
  <w:num w:numId="7">
    <w:abstractNumId w:val="29"/>
  </w:num>
  <w:num w:numId="8">
    <w:abstractNumId w:val="0"/>
  </w:num>
  <w:num w:numId="9">
    <w:abstractNumId w:val="25"/>
  </w:num>
  <w:num w:numId="10">
    <w:abstractNumId w:val="2"/>
  </w:num>
  <w:num w:numId="11">
    <w:abstractNumId w:val="18"/>
  </w:num>
  <w:num w:numId="12">
    <w:abstractNumId w:val="16"/>
  </w:num>
  <w:num w:numId="13">
    <w:abstractNumId w:val="3"/>
  </w:num>
  <w:num w:numId="14">
    <w:abstractNumId w:val="1"/>
  </w:num>
  <w:num w:numId="15">
    <w:abstractNumId w:val="11"/>
  </w:num>
  <w:num w:numId="16">
    <w:abstractNumId w:val="9"/>
  </w:num>
  <w:num w:numId="17">
    <w:abstractNumId w:val="13"/>
  </w:num>
  <w:num w:numId="18">
    <w:abstractNumId w:val="15"/>
  </w:num>
  <w:num w:numId="19">
    <w:abstractNumId w:val="21"/>
  </w:num>
  <w:num w:numId="20">
    <w:abstractNumId w:val="4"/>
  </w:num>
  <w:num w:numId="21">
    <w:abstractNumId w:val="6"/>
  </w:num>
  <w:num w:numId="22">
    <w:abstractNumId w:val="5"/>
  </w:num>
  <w:num w:numId="23">
    <w:abstractNumId w:val="8"/>
  </w:num>
  <w:num w:numId="24">
    <w:abstractNumId w:val="20"/>
  </w:num>
  <w:num w:numId="25">
    <w:abstractNumId w:val="19"/>
  </w:num>
  <w:num w:numId="26">
    <w:abstractNumId w:val="7"/>
  </w:num>
  <w:num w:numId="27">
    <w:abstractNumId w:val="12"/>
  </w:num>
  <w:num w:numId="28">
    <w:abstractNumId w:val="17"/>
  </w:num>
  <w:num w:numId="29">
    <w:abstractNumId w:val="10"/>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7ACF"/>
    <w:rsid w:val="00011C92"/>
    <w:rsid w:val="00015BBD"/>
    <w:rsid w:val="00031815"/>
    <w:rsid w:val="00046A4D"/>
    <w:rsid w:val="00052AB8"/>
    <w:rsid w:val="00057863"/>
    <w:rsid w:val="00060BF7"/>
    <w:rsid w:val="0006574E"/>
    <w:rsid w:val="00073B2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653B8"/>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403DF3"/>
    <w:rsid w:val="004070A9"/>
    <w:rsid w:val="0043354C"/>
    <w:rsid w:val="00442978"/>
    <w:rsid w:val="004452A0"/>
    <w:rsid w:val="00455A6C"/>
    <w:rsid w:val="00455DA4"/>
    <w:rsid w:val="00464925"/>
    <w:rsid w:val="00481E2D"/>
    <w:rsid w:val="0049043E"/>
    <w:rsid w:val="00493194"/>
    <w:rsid w:val="004A1A9A"/>
    <w:rsid w:val="004B4DB9"/>
    <w:rsid w:val="004C55CC"/>
    <w:rsid w:val="004D50BE"/>
    <w:rsid w:val="004E33F5"/>
    <w:rsid w:val="004E36A1"/>
    <w:rsid w:val="004E73AA"/>
    <w:rsid w:val="005139A6"/>
    <w:rsid w:val="005143CB"/>
    <w:rsid w:val="0051745A"/>
    <w:rsid w:val="005272EC"/>
    <w:rsid w:val="0054171B"/>
    <w:rsid w:val="00541C39"/>
    <w:rsid w:val="00541E8C"/>
    <w:rsid w:val="00542E4A"/>
    <w:rsid w:val="00543E6C"/>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32B2C"/>
    <w:rsid w:val="0074076E"/>
    <w:rsid w:val="00760461"/>
    <w:rsid w:val="00764CB5"/>
    <w:rsid w:val="00767902"/>
    <w:rsid w:val="00774AA5"/>
    <w:rsid w:val="00781446"/>
    <w:rsid w:val="00785EAB"/>
    <w:rsid w:val="007B035C"/>
    <w:rsid w:val="007B519E"/>
    <w:rsid w:val="007C1D4B"/>
    <w:rsid w:val="007C5245"/>
    <w:rsid w:val="007C5E3A"/>
    <w:rsid w:val="007D12C9"/>
    <w:rsid w:val="007E4188"/>
    <w:rsid w:val="007E566B"/>
    <w:rsid w:val="008000F1"/>
    <w:rsid w:val="008203F5"/>
    <w:rsid w:val="008318E5"/>
    <w:rsid w:val="00834196"/>
    <w:rsid w:val="00837BD5"/>
    <w:rsid w:val="008409E6"/>
    <w:rsid w:val="00843C1F"/>
    <w:rsid w:val="00850A0B"/>
    <w:rsid w:val="0085211E"/>
    <w:rsid w:val="00853426"/>
    <w:rsid w:val="0086565B"/>
    <w:rsid w:val="00876B3D"/>
    <w:rsid w:val="00886707"/>
    <w:rsid w:val="00890618"/>
    <w:rsid w:val="008A6C8E"/>
    <w:rsid w:val="008B0571"/>
    <w:rsid w:val="008B515F"/>
    <w:rsid w:val="008D427F"/>
    <w:rsid w:val="008E1232"/>
    <w:rsid w:val="008E2101"/>
    <w:rsid w:val="008E28BF"/>
    <w:rsid w:val="008E5BFF"/>
    <w:rsid w:val="008E7C76"/>
    <w:rsid w:val="008F12E6"/>
    <w:rsid w:val="008F17BA"/>
    <w:rsid w:val="00911899"/>
    <w:rsid w:val="00914188"/>
    <w:rsid w:val="00915BB1"/>
    <w:rsid w:val="00926710"/>
    <w:rsid w:val="00946632"/>
    <w:rsid w:val="00963D0C"/>
    <w:rsid w:val="00964F12"/>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215FD"/>
    <w:rsid w:val="00B27AF9"/>
    <w:rsid w:val="00B30D14"/>
    <w:rsid w:val="00B32F76"/>
    <w:rsid w:val="00B653F7"/>
    <w:rsid w:val="00B7114E"/>
    <w:rsid w:val="00B7180B"/>
    <w:rsid w:val="00B7229E"/>
    <w:rsid w:val="00B822C1"/>
    <w:rsid w:val="00B9008D"/>
    <w:rsid w:val="00B91439"/>
    <w:rsid w:val="00B92A65"/>
    <w:rsid w:val="00B97C1B"/>
    <w:rsid w:val="00BA5317"/>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C5409"/>
    <w:rsid w:val="00FD30C9"/>
    <w:rsid w:val="00FE31F2"/>
    <w:rsid w:val="00FE393E"/>
    <w:rsid w:val="00FE4853"/>
    <w:rsid w:val="00FF29E1"/>
    <w:rsid w:val="00FF4CFD"/>
    <w:rsid w:val="00FF782D"/>
    <w:rsid w:val="01F23085"/>
    <w:rsid w:val="02970BED"/>
    <w:rsid w:val="029D325A"/>
    <w:rsid w:val="02B06C5B"/>
    <w:rsid w:val="02C320C6"/>
    <w:rsid w:val="03320218"/>
    <w:rsid w:val="03A502A7"/>
    <w:rsid w:val="04471571"/>
    <w:rsid w:val="04624E3C"/>
    <w:rsid w:val="05680A5B"/>
    <w:rsid w:val="06221D21"/>
    <w:rsid w:val="06683D2A"/>
    <w:rsid w:val="06832BC0"/>
    <w:rsid w:val="06A93C8A"/>
    <w:rsid w:val="06F62839"/>
    <w:rsid w:val="070A631C"/>
    <w:rsid w:val="073316DF"/>
    <w:rsid w:val="08066FDC"/>
    <w:rsid w:val="08564BF9"/>
    <w:rsid w:val="08645326"/>
    <w:rsid w:val="08A22BBA"/>
    <w:rsid w:val="08D2195C"/>
    <w:rsid w:val="09976EA5"/>
    <w:rsid w:val="09A83C44"/>
    <w:rsid w:val="09E22629"/>
    <w:rsid w:val="0A531F1D"/>
    <w:rsid w:val="0A6C58EC"/>
    <w:rsid w:val="0A783D07"/>
    <w:rsid w:val="0AA96F34"/>
    <w:rsid w:val="0AE230E9"/>
    <w:rsid w:val="0C5233A0"/>
    <w:rsid w:val="0C812A60"/>
    <w:rsid w:val="0CA36FB2"/>
    <w:rsid w:val="0CAC35DF"/>
    <w:rsid w:val="0D2304AD"/>
    <w:rsid w:val="0DAB10A3"/>
    <w:rsid w:val="0E550512"/>
    <w:rsid w:val="0F360F58"/>
    <w:rsid w:val="0F701F63"/>
    <w:rsid w:val="10067953"/>
    <w:rsid w:val="10551940"/>
    <w:rsid w:val="10E7084B"/>
    <w:rsid w:val="120E12B5"/>
    <w:rsid w:val="12EE7F47"/>
    <w:rsid w:val="13072A44"/>
    <w:rsid w:val="139F5201"/>
    <w:rsid w:val="158B0DFA"/>
    <w:rsid w:val="15A54611"/>
    <w:rsid w:val="160A4336"/>
    <w:rsid w:val="162B2994"/>
    <w:rsid w:val="166A349F"/>
    <w:rsid w:val="1703454E"/>
    <w:rsid w:val="18511C71"/>
    <w:rsid w:val="18A825BD"/>
    <w:rsid w:val="18BD6434"/>
    <w:rsid w:val="190E6E41"/>
    <w:rsid w:val="191F13C5"/>
    <w:rsid w:val="1956632E"/>
    <w:rsid w:val="199F5A59"/>
    <w:rsid w:val="1A117A54"/>
    <w:rsid w:val="1ADB3694"/>
    <w:rsid w:val="1C481872"/>
    <w:rsid w:val="1CB57CA7"/>
    <w:rsid w:val="1D620F44"/>
    <w:rsid w:val="1D7F39B2"/>
    <w:rsid w:val="1DA03128"/>
    <w:rsid w:val="1DF35130"/>
    <w:rsid w:val="1E49636A"/>
    <w:rsid w:val="1EE45D3E"/>
    <w:rsid w:val="1F2B11D3"/>
    <w:rsid w:val="1F955C94"/>
    <w:rsid w:val="1FBC6ED8"/>
    <w:rsid w:val="2064561F"/>
    <w:rsid w:val="20A7561E"/>
    <w:rsid w:val="211605E1"/>
    <w:rsid w:val="21CB3A0E"/>
    <w:rsid w:val="22CA78A2"/>
    <w:rsid w:val="22F84EEE"/>
    <w:rsid w:val="237A0EA4"/>
    <w:rsid w:val="24073D5B"/>
    <w:rsid w:val="24575689"/>
    <w:rsid w:val="24CA4DE9"/>
    <w:rsid w:val="258E4715"/>
    <w:rsid w:val="26351490"/>
    <w:rsid w:val="26E47013"/>
    <w:rsid w:val="26F92E80"/>
    <w:rsid w:val="279F6E91"/>
    <w:rsid w:val="2828535F"/>
    <w:rsid w:val="287E79EF"/>
    <w:rsid w:val="29A13806"/>
    <w:rsid w:val="29B1567A"/>
    <w:rsid w:val="2A60191C"/>
    <w:rsid w:val="2A9A519A"/>
    <w:rsid w:val="2AB36B9A"/>
    <w:rsid w:val="2AE77BF2"/>
    <w:rsid w:val="2AEF71FD"/>
    <w:rsid w:val="2B2139A1"/>
    <w:rsid w:val="2B3F0281"/>
    <w:rsid w:val="2B5E0B35"/>
    <w:rsid w:val="2B960C8F"/>
    <w:rsid w:val="2BCF6ACE"/>
    <w:rsid w:val="2D764AE5"/>
    <w:rsid w:val="300229FF"/>
    <w:rsid w:val="30AA08EF"/>
    <w:rsid w:val="30C12E8B"/>
    <w:rsid w:val="31033AA4"/>
    <w:rsid w:val="31B859A2"/>
    <w:rsid w:val="31BA4D9E"/>
    <w:rsid w:val="31DD4FFF"/>
    <w:rsid w:val="31F4007D"/>
    <w:rsid w:val="3425238A"/>
    <w:rsid w:val="34276C67"/>
    <w:rsid w:val="34C84E88"/>
    <w:rsid w:val="34CA77A8"/>
    <w:rsid w:val="352D3F09"/>
    <w:rsid w:val="35365F14"/>
    <w:rsid w:val="353D1F3D"/>
    <w:rsid w:val="35800D7D"/>
    <w:rsid w:val="358762BA"/>
    <w:rsid w:val="35B6712B"/>
    <w:rsid w:val="35C656FD"/>
    <w:rsid w:val="36324235"/>
    <w:rsid w:val="365B1D5A"/>
    <w:rsid w:val="37B67EF6"/>
    <w:rsid w:val="37FE0959"/>
    <w:rsid w:val="38467D63"/>
    <w:rsid w:val="38BD7423"/>
    <w:rsid w:val="39452257"/>
    <w:rsid w:val="396C0D0F"/>
    <w:rsid w:val="39EB608E"/>
    <w:rsid w:val="3B334F0C"/>
    <w:rsid w:val="3B5C3046"/>
    <w:rsid w:val="3BB44F02"/>
    <w:rsid w:val="3BF97842"/>
    <w:rsid w:val="3C81165F"/>
    <w:rsid w:val="3C88701C"/>
    <w:rsid w:val="3CA17BE8"/>
    <w:rsid w:val="3E4A2B6A"/>
    <w:rsid w:val="3FAE7C86"/>
    <w:rsid w:val="3FE82AEC"/>
    <w:rsid w:val="40B1141C"/>
    <w:rsid w:val="41D816CF"/>
    <w:rsid w:val="426C65EC"/>
    <w:rsid w:val="42B35C26"/>
    <w:rsid w:val="43A37C06"/>
    <w:rsid w:val="43CC6427"/>
    <w:rsid w:val="44B21FC2"/>
    <w:rsid w:val="44DA5705"/>
    <w:rsid w:val="45561D3F"/>
    <w:rsid w:val="463B1763"/>
    <w:rsid w:val="46D332C1"/>
    <w:rsid w:val="488B62F3"/>
    <w:rsid w:val="4892758D"/>
    <w:rsid w:val="489356C9"/>
    <w:rsid w:val="491E5692"/>
    <w:rsid w:val="49302E9F"/>
    <w:rsid w:val="49FB3288"/>
    <w:rsid w:val="4A602EB9"/>
    <w:rsid w:val="4A826C74"/>
    <w:rsid w:val="4B0E7060"/>
    <w:rsid w:val="4B3F0FDD"/>
    <w:rsid w:val="4B625D1C"/>
    <w:rsid w:val="4BE04D8D"/>
    <w:rsid w:val="4C0B7B9E"/>
    <w:rsid w:val="4D566F18"/>
    <w:rsid w:val="4F283CB4"/>
    <w:rsid w:val="4F7E48D5"/>
    <w:rsid w:val="503E2F33"/>
    <w:rsid w:val="506757E7"/>
    <w:rsid w:val="50FB605A"/>
    <w:rsid w:val="51E2504D"/>
    <w:rsid w:val="51F96F78"/>
    <w:rsid w:val="52383B1A"/>
    <w:rsid w:val="52432384"/>
    <w:rsid w:val="52B21B59"/>
    <w:rsid w:val="52C06024"/>
    <w:rsid w:val="52C07F51"/>
    <w:rsid w:val="536B5669"/>
    <w:rsid w:val="536D355D"/>
    <w:rsid w:val="5418600B"/>
    <w:rsid w:val="54FF6C7E"/>
    <w:rsid w:val="55995C7E"/>
    <w:rsid w:val="55B7261F"/>
    <w:rsid w:val="55B91A6E"/>
    <w:rsid w:val="56076140"/>
    <w:rsid w:val="56921862"/>
    <w:rsid w:val="569A5D7A"/>
    <w:rsid w:val="579831C5"/>
    <w:rsid w:val="58136BF6"/>
    <w:rsid w:val="58366D88"/>
    <w:rsid w:val="58AD4434"/>
    <w:rsid w:val="59013D9D"/>
    <w:rsid w:val="590A1DA2"/>
    <w:rsid w:val="598D0145"/>
    <w:rsid w:val="59FA6353"/>
    <w:rsid w:val="5C717B35"/>
    <w:rsid w:val="5D960009"/>
    <w:rsid w:val="5E666CEB"/>
    <w:rsid w:val="5F6A0B17"/>
    <w:rsid w:val="602D40D8"/>
    <w:rsid w:val="616817BC"/>
    <w:rsid w:val="62420210"/>
    <w:rsid w:val="63A70E8C"/>
    <w:rsid w:val="6430556D"/>
    <w:rsid w:val="64367476"/>
    <w:rsid w:val="64D6157E"/>
    <w:rsid w:val="65292543"/>
    <w:rsid w:val="66012DC3"/>
    <w:rsid w:val="66571890"/>
    <w:rsid w:val="6673681B"/>
    <w:rsid w:val="67027E5A"/>
    <w:rsid w:val="67057182"/>
    <w:rsid w:val="678D79C8"/>
    <w:rsid w:val="67F4441B"/>
    <w:rsid w:val="68675EC9"/>
    <w:rsid w:val="6892146F"/>
    <w:rsid w:val="6AD6255B"/>
    <w:rsid w:val="6AE91F44"/>
    <w:rsid w:val="6D806669"/>
    <w:rsid w:val="6EB846B2"/>
    <w:rsid w:val="6EE20CCF"/>
    <w:rsid w:val="6EF36A95"/>
    <w:rsid w:val="6EF6299F"/>
    <w:rsid w:val="6F03749A"/>
    <w:rsid w:val="6F566DDB"/>
    <w:rsid w:val="6F607AAD"/>
    <w:rsid w:val="6FC96806"/>
    <w:rsid w:val="6FEE7FB2"/>
    <w:rsid w:val="71ED0ABD"/>
    <w:rsid w:val="71EF0E92"/>
    <w:rsid w:val="72935C87"/>
    <w:rsid w:val="72B11A4A"/>
    <w:rsid w:val="72C06091"/>
    <w:rsid w:val="736F68EF"/>
    <w:rsid w:val="73D30A62"/>
    <w:rsid w:val="74B375C1"/>
    <w:rsid w:val="751F5950"/>
    <w:rsid w:val="75812E57"/>
    <w:rsid w:val="759C6138"/>
    <w:rsid w:val="75A7498C"/>
    <w:rsid w:val="76110A4A"/>
    <w:rsid w:val="767E160B"/>
    <w:rsid w:val="76F845C3"/>
    <w:rsid w:val="771C067A"/>
    <w:rsid w:val="78A20E34"/>
    <w:rsid w:val="78CE2B23"/>
    <w:rsid w:val="798026FC"/>
    <w:rsid w:val="7A760339"/>
    <w:rsid w:val="7B1072F5"/>
    <w:rsid w:val="7B1C7A18"/>
    <w:rsid w:val="7BB96489"/>
    <w:rsid w:val="7BE350CF"/>
    <w:rsid w:val="7C3E6452"/>
    <w:rsid w:val="7D785165"/>
    <w:rsid w:val="7FF411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3"/>
    <w:semiHidden/>
    <w:unhideWhenUsed/>
    <w:qFormat/>
    <w:uiPriority w:val="99"/>
    <w:rPr>
      <w:rFonts w:ascii="宋体"/>
      <w:sz w:val="18"/>
      <w:szCs w:val="18"/>
    </w:rPr>
  </w:style>
  <w:style w:type="paragraph" w:styleId="5">
    <w:name w:val="annotation text"/>
    <w:basedOn w:val="1"/>
    <w:semiHidden/>
    <w:unhideWhenUsed/>
    <w:qFormat/>
    <w:uiPriority w:val="99"/>
    <w:pPr>
      <w:jc w:val="left"/>
    </w:pPr>
  </w:style>
  <w:style w:type="paragraph" w:styleId="6">
    <w:name w:val="Body Text"/>
    <w:basedOn w:val="1"/>
    <w:link w:val="16"/>
    <w:qFormat/>
    <w:uiPriority w:val="0"/>
    <w:pPr>
      <w:spacing w:after="120"/>
    </w:pPr>
    <w:rPr>
      <w:color w:val="000000"/>
    </w:rPr>
  </w:style>
  <w:style w:type="paragraph" w:styleId="7">
    <w:name w:val="Body Text Indent"/>
    <w:basedOn w:val="1"/>
    <w:semiHidden/>
    <w:unhideWhenUsed/>
    <w:qFormat/>
    <w:uiPriority w:val="99"/>
    <w:pPr>
      <w:spacing w:after="120"/>
      <w:ind w:left="420" w:leftChars="200"/>
    </w:pPr>
  </w:style>
  <w:style w:type="paragraph" w:styleId="8">
    <w:name w:val="Plain Text"/>
    <w:basedOn w:val="1"/>
    <w:link w:val="18"/>
    <w:qFormat/>
    <w:uiPriority w:val="0"/>
    <w:rPr>
      <w:rFonts w:ascii="宋体" w:hAnsi="Courier New"/>
    </w:rPr>
  </w:style>
  <w:style w:type="paragraph" w:styleId="9">
    <w:name w:val="Date"/>
    <w:basedOn w:val="1"/>
    <w:next w:val="1"/>
    <w:link w:val="17"/>
    <w:qFormat/>
    <w:uiPriority w:val="0"/>
    <w:pPr>
      <w:ind w:left="100" w:leftChars="2500"/>
    </w:pPr>
    <w:rPr>
      <w:sz w:val="28"/>
    </w:rPr>
  </w:style>
  <w:style w:type="paragraph" w:styleId="10">
    <w:name w:val="Balloon Text"/>
    <w:basedOn w:val="1"/>
    <w:link w:val="29"/>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character" w:customStyle="1" w:styleId="16">
    <w:name w:val="正文文本 Char"/>
    <w:basedOn w:val="14"/>
    <w:link w:val="6"/>
    <w:qFormat/>
    <w:uiPriority w:val="0"/>
    <w:rPr>
      <w:rFonts w:ascii="Times New Roman" w:hAnsi="Times New Roman" w:eastAsia="宋体" w:cs="Times New Roman"/>
      <w:color w:val="000000"/>
      <w:szCs w:val="20"/>
    </w:rPr>
  </w:style>
  <w:style w:type="character" w:customStyle="1" w:styleId="17">
    <w:name w:val="日期 Char"/>
    <w:basedOn w:val="14"/>
    <w:link w:val="9"/>
    <w:qFormat/>
    <w:uiPriority w:val="0"/>
    <w:rPr>
      <w:rFonts w:ascii="Times New Roman" w:hAnsi="Times New Roman" w:eastAsia="宋体" w:cs="Times New Roman"/>
      <w:sz w:val="28"/>
      <w:szCs w:val="20"/>
    </w:rPr>
  </w:style>
  <w:style w:type="character" w:customStyle="1" w:styleId="18">
    <w:name w:val="纯文本 Char"/>
    <w:basedOn w:val="14"/>
    <w:link w:val="8"/>
    <w:qFormat/>
    <w:uiPriority w:val="0"/>
    <w:rPr>
      <w:rFonts w:ascii="宋体" w:hAnsi="Courier New" w:eastAsia="宋体" w:cs="Times New Roman"/>
      <w:szCs w:val="20"/>
    </w:rPr>
  </w:style>
  <w:style w:type="character" w:customStyle="1" w:styleId="19">
    <w:name w:val="页眉 Char"/>
    <w:basedOn w:val="14"/>
    <w:link w:val="12"/>
    <w:qFormat/>
    <w:uiPriority w:val="99"/>
    <w:rPr>
      <w:rFonts w:ascii="Times New Roman" w:hAnsi="Times New Roman" w:eastAsia="宋体" w:cs="Times New Roman"/>
      <w:sz w:val="18"/>
      <w:szCs w:val="18"/>
    </w:rPr>
  </w:style>
  <w:style w:type="character" w:customStyle="1" w:styleId="20">
    <w:name w:val="页脚 Char"/>
    <w:basedOn w:val="14"/>
    <w:link w:val="11"/>
    <w:qFormat/>
    <w:uiPriority w:val="99"/>
    <w:rPr>
      <w:rFonts w:ascii="Times New Roman" w:hAnsi="Times New Roman" w:eastAsia="宋体" w:cs="Times New Roman"/>
      <w:sz w:val="18"/>
      <w:szCs w:val="18"/>
    </w:rPr>
  </w:style>
  <w:style w:type="character" w:customStyle="1" w:styleId="21">
    <w:name w:val="标题 1 Char"/>
    <w:basedOn w:val="14"/>
    <w:link w:val="2"/>
    <w:qFormat/>
    <w:uiPriority w:val="9"/>
    <w:rPr>
      <w:rFonts w:ascii="Times New Roman" w:hAnsi="Times New Roman" w:eastAsia="宋体" w:cs="Times New Roman"/>
      <w:b/>
      <w:bCs/>
      <w:kern w:val="44"/>
      <w:sz w:val="44"/>
      <w:szCs w:val="44"/>
    </w:rPr>
  </w:style>
  <w:style w:type="character" w:customStyle="1" w:styleId="22">
    <w:name w:val="标题 2 Char"/>
    <w:basedOn w:val="14"/>
    <w:link w:val="3"/>
    <w:qFormat/>
    <w:uiPriority w:val="9"/>
    <w:rPr>
      <w:rFonts w:asciiTheme="majorHAnsi" w:hAnsiTheme="majorHAnsi" w:eastAsiaTheme="majorEastAsia" w:cstheme="majorBidi"/>
      <w:b/>
      <w:bCs/>
      <w:sz w:val="32"/>
      <w:szCs w:val="32"/>
    </w:rPr>
  </w:style>
  <w:style w:type="character" w:customStyle="1" w:styleId="23">
    <w:name w:val="文档结构图 Char"/>
    <w:basedOn w:val="14"/>
    <w:link w:val="4"/>
    <w:semiHidden/>
    <w:qFormat/>
    <w:uiPriority w:val="99"/>
    <w:rPr>
      <w:rFonts w:ascii="宋体" w:hAnsi="Times New Roman" w:eastAsia="宋体" w:cs="Times New Roman"/>
      <w:sz w:val="18"/>
      <w:szCs w:val="18"/>
    </w:rPr>
  </w:style>
  <w:style w:type="paragraph" w:customStyle="1" w:styleId="24">
    <w:name w:val="列出段落1"/>
    <w:basedOn w:val="1"/>
    <w:link w:val="25"/>
    <w:qFormat/>
    <w:uiPriority w:val="34"/>
    <w:pPr>
      <w:ind w:firstLine="420" w:firstLineChars="200"/>
    </w:pPr>
    <w:rPr>
      <w:sz w:val="24"/>
      <w:szCs w:val="24"/>
    </w:rPr>
  </w:style>
  <w:style w:type="character" w:customStyle="1" w:styleId="25">
    <w:name w:val="列出段落 Char"/>
    <w:link w:val="24"/>
    <w:qFormat/>
    <w:uiPriority w:val="34"/>
    <w:rPr>
      <w:rFonts w:ascii="Times New Roman" w:hAnsi="Times New Roman" w:eastAsia="宋体" w:cs="Times New Roman"/>
      <w:sz w:val="24"/>
      <w:szCs w:val="24"/>
    </w:rPr>
  </w:style>
  <w:style w:type="paragraph" w:styleId="26">
    <w:name w:val="List Paragraph"/>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FZXiaoBiaoSong-B05S" w:hAnsi="Calibri" w:eastAsia="FZXiaoBiaoSong-B05S" w:cs="FZXiaoBiaoSong-B05S"/>
      <w:color w:val="000000"/>
      <w:kern w:val="0"/>
      <w:sz w:val="24"/>
      <w:szCs w:val="24"/>
      <w:lang w:val="en-US" w:eastAsia="zh-CN" w:bidi="ar-SA"/>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批注框文本 Char"/>
    <w:basedOn w:val="14"/>
    <w:link w:val="10"/>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1265</Words>
  <Characters>7214</Characters>
  <Lines>60</Lines>
  <Paragraphs>16</Paragraphs>
  <TotalTime>91</TotalTime>
  <ScaleCrop>false</ScaleCrop>
  <LinksUpToDate>false</LinksUpToDate>
  <CharactersWithSpaces>8463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2023-12-26T05:21:00Z</dcterms:created>
  <dc:creator>Administrator</dc:creator>
  <cp:lastModifiedBy>15144</cp:lastModifiedBy>
  <dcterms:modified xsi:type="dcterms:W3CDTF">2026-03-13T01:49:32Z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D6181E336CF547169007468F0D5C481F</vt:lpwstr>
  </property>
</Properties>
</file>